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E4" w:rsidRPr="00FB06E4" w:rsidRDefault="00FB06E4" w:rsidP="00FB06E4">
      <w:pPr>
        <w:tabs>
          <w:tab w:val="center" w:pos="4535"/>
        </w:tabs>
        <w:jc w:val="center"/>
        <w:rPr>
          <w:rFonts w:ascii="Arial" w:hAnsi="Arial" w:cs="Arial"/>
          <w:b/>
          <w:bCs/>
          <w:sz w:val="18"/>
          <w:szCs w:val="18"/>
          <w:lang w:eastAsia="es-VE"/>
        </w:rPr>
      </w:pPr>
      <w:bookmarkStart w:id="0" w:name="_GoBack"/>
      <w:bookmarkEnd w:id="0"/>
      <w:r w:rsidRPr="00FB06E4">
        <w:rPr>
          <w:rFonts w:ascii="Arial" w:hAnsi="Arial" w:cs="Arial"/>
          <w:b/>
          <w:bCs/>
          <w:sz w:val="18"/>
          <w:szCs w:val="18"/>
          <w:highlight w:val="lightGray"/>
          <w:lang w:eastAsia="es-VE"/>
        </w:rPr>
        <w:t>Visita nuestro Nuevo Portal</w:t>
      </w:r>
      <w:r w:rsidRPr="00FB06E4">
        <w:rPr>
          <w:rFonts w:ascii="Arial" w:hAnsi="Arial" w:cs="Arial"/>
          <w:b/>
          <w:bCs/>
          <w:sz w:val="18"/>
          <w:szCs w:val="18"/>
          <w:lang w:eastAsia="es-VE"/>
        </w:rPr>
        <w:t>:</w:t>
      </w:r>
      <w:r w:rsidRPr="00FB06E4">
        <w:rPr>
          <w:rFonts w:ascii="Arial" w:hAnsi="Arial" w:cs="Arial"/>
          <w:b/>
          <w:bCs/>
          <w:sz w:val="18"/>
          <w:szCs w:val="18"/>
          <w:lang w:eastAsia="es-VE"/>
        </w:rPr>
        <w:tab/>
      </w:r>
      <w:hyperlink r:id="rId7" w:history="1">
        <w:r w:rsidRPr="00FB06E4">
          <w:rPr>
            <w:rStyle w:val="Hipervnculo"/>
            <w:rFonts w:ascii="Arial" w:hAnsi="Arial" w:cs="Arial"/>
            <w:b/>
            <w:bCs/>
            <w:sz w:val="18"/>
            <w:szCs w:val="18"/>
            <w:lang w:eastAsia="es-VE"/>
          </w:rPr>
          <w:t>http://www.</w:t>
        </w:r>
        <w:r w:rsidRPr="00FB06E4">
          <w:rPr>
            <w:rStyle w:val="Hipervnculo"/>
            <w:rFonts w:ascii="Arial" w:hAnsi="Arial" w:cs="Arial"/>
            <w:b/>
            <w:bCs/>
            <w:lang w:eastAsia="es-VE"/>
          </w:rPr>
          <w:t>barometrointernacional</w:t>
        </w:r>
        <w:r w:rsidRPr="00FB06E4">
          <w:rPr>
            <w:rStyle w:val="Hipervnculo"/>
            <w:rFonts w:ascii="Arial" w:hAnsi="Arial" w:cs="Arial"/>
            <w:b/>
            <w:bCs/>
            <w:sz w:val="18"/>
            <w:szCs w:val="18"/>
            <w:lang w:eastAsia="es-VE"/>
          </w:rPr>
          <w:t>.com.ve</w:t>
        </w:r>
      </w:hyperlink>
    </w:p>
    <w:p w:rsidR="00FB06E4" w:rsidRDefault="00C347FF" w:rsidP="0093611D">
      <w:pPr>
        <w:jc w:val="right"/>
        <w:rPr>
          <w:rFonts w:ascii="Arial" w:hAnsi="Arial" w:cs="Arial"/>
          <w:b/>
          <w:bCs/>
          <w:lang w:val="es-VE" w:eastAsia="es-VE"/>
        </w:rPr>
      </w:pPr>
      <w:r>
        <w:rPr>
          <w:noProof/>
          <w:lang w:val="es-AR" w:eastAsia="es-AR"/>
        </w:rPr>
        <w:drawing>
          <wp:anchor distT="0" distB="0" distL="114300" distR="114300" simplePos="0" relativeHeight="251657216" behindDoc="1" locked="0" layoutInCell="1" allowOverlap="1">
            <wp:simplePos x="0" y="0"/>
            <wp:positionH relativeFrom="column">
              <wp:posOffset>13970</wp:posOffset>
            </wp:positionH>
            <wp:positionV relativeFrom="paragraph">
              <wp:posOffset>73660</wp:posOffset>
            </wp:positionV>
            <wp:extent cx="5750560" cy="1819275"/>
            <wp:effectExtent l="0" t="0" r="2540" b="9525"/>
            <wp:wrapNone/>
            <wp:docPr id="36" name="Imagen 36" descr="fondo blanco di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ndo blanco dig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056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FB06E4" w:rsidRDefault="00FB06E4" w:rsidP="0093611D">
      <w:pPr>
        <w:jc w:val="right"/>
        <w:rPr>
          <w:rFonts w:ascii="Arial" w:hAnsi="Arial" w:cs="Arial"/>
          <w:b/>
          <w:bCs/>
          <w:lang w:val="es-VE" w:eastAsia="es-VE"/>
        </w:rPr>
      </w:pPr>
    </w:p>
    <w:p w:rsidR="006B57BC" w:rsidRDefault="006B57BC" w:rsidP="0093611D">
      <w:pPr>
        <w:jc w:val="right"/>
        <w:rPr>
          <w:rFonts w:ascii="Arial" w:hAnsi="Arial" w:cs="Arial"/>
          <w:b/>
          <w:bCs/>
          <w:lang w:val="es-VE" w:eastAsia="es-VE"/>
        </w:rPr>
      </w:pPr>
    </w:p>
    <w:p w:rsidR="006B57BC" w:rsidRDefault="006B57BC" w:rsidP="00546282">
      <w:pPr>
        <w:rPr>
          <w:rFonts w:ascii="Arial" w:hAnsi="Arial" w:cs="Arial"/>
          <w:b/>
          <w:bCs/>
          <w:lang w:eastAsia="es-VE"/>
        </w:rPr>
      </w:pPr>
    </w:p>
    <w:p w:rsidR="006B57BC" w:rsidRDefault="006B57BC" w:rsidP="0093611D">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546282">
      <w:pPr>
        <w:rPr>
          <w:rFonts w:ascii="Arial" w:hAnsi="Arial" w:cs="Arial"/>
          <w:b/>
          <w:bCs/>
          <w:lang w:val="es-VE" w:eastAsia="es-VE"/>
        </w:rPr>
      </w:pPr>
    </w:p>
    <w:p w:rsidR="006B57BC" w:rsidRDefault="006B57BC" w:rsidP="00D544F3">
      <w:pPr>
        <w:rPr>
          <w:rFonts w:ascii="Arial" w:hAnsi="Arial" w:cs="Arial"/>
          <w:b/>
          <w:bCs/>
          <w:lang w:val="es-VE" w:eastAsia="es-VE"/>
        </w:rPr>
      </w:pPr>
    </w:p>
    <w:p w:rsidR="006B57BC" w:rsidRPr="00FB06E4" w:rsidRDefault="006B57BC" w:rsidP="00D544F3">
      <w:pPr>
        <w:rPr>
          <w:rFonts w:ascii="Arial" w:hAnsi="Arial" w:cs="Arial"/>
          <w:b/>
          <w:bCs/>
          <w:lang w:eastAsia="es-VE"/>
        </w:rPr>
      </w:pPr>
    </w:p>
    <w:p w:rsidR="003661F7" w:rsidRPr="00EE6FBE" w:rsidRDefault="003661F7" w:rsidP="003661F7">
      <w:pPr>
        <w:tabs>
          <w:tab w:val="left" w:pos="284"/>
        </w:tabs>
        <w:spacing w:after="200" w:line="360" w:lineRule="auto"/>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La Frontera colombo venezolana</w:t>
      </w:r>
    </w:p>
    <w:p w:rsidR="003661F7" w:rsidRPr="00EE6FBE" w:rsidRDefault="003661F7" w:rsidP="003661F7">
      <w:pPr>
        <w:tabs>
          <w:tab w:val="left" w:pos="284"/>
        </w:tabs>
        <w:spacing w:after="200" w:line="360" w:lineRule="auto"/>
        <w:jc w:val="both"/>
        <w:rPr>
          <w:rStyle w:val="nfasis"/>
          <w:rFonts w:ascii="Arial" w:eastAsia="Calibri" w:hAnsi="Arial" w:cs="Arial"/>
          <w:b/>
          <w:i w:val="0"/>
          <w:lang w:val="es-VE" w:eastAsia="en-US"/>
        </w:rPr>
      </w:pPr>
      <w:r w:rsidRPr="00EE6FBE">
        <w:rPr>
          <w:rStyle w:val="nfasis"/>
          <w:rFonts w:ascii="Arial" w:eastAsia="Calibri" w:hAnsi="Arial" w:cs="Arial"/>
          <w:b/>
          <w:i w:val="0"/>
          <w:lang w:val="es-VE" w:eastAsia="en-US"/>
        </w:rPr>
        <w:t xml:space="preserve">UN ESPACIO ESTRATÉGICO EN LA LUCHA DE CLASES </w:t>
      </w:r>
      <w:r w:rsidRPr="003661F7">
        <w:rPr>
          <w:rStyle w:val="nfasis"/>
          <w:rFonts w:ascii="Arial" w:eastAsia="Calibri" w:hAnsi="Arial" w:cs="Arial"/>
          <w:b/>
          <w:i w:val="0"/>
        </w:rPr>
        <w:t xml:space="preserve">(Parte </w:t>
      </w:r>
      <w:r w:rsidRPr="00EE6FBE">
        <w:rPr>
          <w:rStyle w:val="nfasis"/>
          <w:rFonts w:ascii="Arial" w:eastAsia="Calibri" w:hAnsi="Arial" w:cs="Arial"/>
          <w:b/>
          <w:i w:val="0"/>
          <w:lang w:val="es-VE" w:eastAsia="en-US"/>
        </w:rPr>
        <w:t>I</w:t>
      </w:r>
      <w:r w:rsidRPr="003661F7">
        <w:rPr>
          <w:rStyle w:val="nfasis"/>
          <w:rFonts w:ascii="Arial" w:eastAsia="Calibri" w:hAnsi="Arial" w:cs="Arial"/>
          <w:b/>
          <w:i w:val="0"/>
        </w:rPr>
        <w:t xml:space="preserve">) </w:t>
      </w:r>
    </w:p>
    <w:p w:rsidR="003661F7" w:rsidRPr="003661F7" w:rsidRDefault="003661F7" w:rsidP="003661F7">
      <w:pPr>
        <w:tabs>
          <w:tab w:val="left" w:pos="284"/>
        </w:tabs>
        <w:spacing w:after="200" w:line="360" w:lineRule="auto"/>
        <w:jc w:val="both"/>
        <w:rPr>
          <w:rStyle w:val="nfasis"/>
          <w:rFonts w:ascii="Arial" w:eastAsia="Calibri" w:hAnsi="Arial" w:cs="Arial"/>
          <w:i w:val="0"/>
        </w:rPr>
      </w:pPr>
      <w:r w:rsidRPr="003661F7">
        <w:rPr>
          <w:rStyle w:val="nfasis"/>
          <w:rFonts w:ascii="Arial" w:eastAsia="Calibri" w:hAnsi="Arial" w:cs="Arial"/>
          <w:i w:val="0"/>
        </w:rPr>
        <w:t>Por: Jorge Forero</w:t>
      </w:r>
    </w:p>
    <w:p w:rsidR="003661F7" w:rsidRPr="003661F7" w:rsidRDefault="00C347FF" w:rsidP="003661F7">
      <w:pPr>
        <w:tabs>
          <w:tab w:val="left" w:pos="284"/>
        </w:tabs>
        <w:spacing w:after="200" w:line="360" w:lineRule="auto"/>
        <w:jc w:val="both"/>
        <w:rPr>
          <w:rFonts w:ascii="Arial" w:hAnsi="Arial" w:cs="Arial"/>
          <w:bCs/>
          <w:iCs/>
          <w:color w:val="000000"/>
          <w:lang w:eastAsia="es-VE"/>
        </w:rPr>
      </w:pPr>
      <w:r w:rsidRPr="003661F7">
        <w:rPr>
          <w:rFonts w:ascii="Arial" w:hAnsi="Arial" w:cs="Arial"/>
          <w:bCs/>
          <w:iCs/>
          <w:noProof/>
          <w:color w:val="000000"/>
          <w:lang w:val="es-AR" w:eastAsia="es-AR"/>
        </w:rPr>
        <w:drawing>
          <wp:anchor distT="0" distB="0" distL="114300" distR="114300" simplePos="0" relativeHeight="251658240" behindDoc="0" locked="0" layoutInCell="1" allowOverlap="1">
            <wp:simplePos x="0" y="0"/>
            <wp:positionH relativeFrom="margin">
              <wp:posOffset>2606040</wp:posOffset>
            </wp:positionH>
            <wp:positionV relativeFrom="margin">
              <wp:posOffset>3493135</wp:posOffset>
            </wp:positionV>
            <wp:extent cx="3158490" cy="3034665"/>
            <wp:effectExtent l="0" t="0" r="3810" b="0"/>
            <wp:wrapSquare wrapText="bothSides"/>
            <wp:docPr id="37" name="Imagen 37" descr="La Frontera colombo venezolan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 Frontera colombo venezolana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8490" cy="303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F7" w:rsidRPr="003661F7">
        <w:rPr>
          <w:rFonts w:ascii="Arial" w:hAnsi="Arial" w:cs="Arial"/>
          <w:bCs/>
          <w:iCs/>
          <w:color w:val="000000"/>
          <w:lang w:eastAsia="es-VE"/>
        </w:rPr>
        <w:t xml:space="preserve">El conflicto de la frontera colombo-venezolana, cuyo epicentro se localiza en el eje Táchira-Norte de Santander, es el producto de una carga histórica de tensiones de signo económico y geopolítico. Las contradicciones dadas en el marco del cierre parcial del paso fronterizo (desde agosto de 2015, hasta agosto de 2016), responden a la presión de factores que expresan intereses transnacionales. A continuación se expone una breve caracterización de las determinaciones sociales, y de los factores clave del conflicto referido: </w:t>
      </w:r>
    </w:p>
    <w:p w:rsidR="003661F7" w:rsidRPr="00EE6FBE" w:rsidRDefault="003661F7" w:rsidP="003661F7">
      <w:pPr>
        <w:tabs>
          <w:tab w:val="left" w:pos="284"/>
        </w:tabs>
        <w:spacing w:after="200" w:line="360" w:lineRule="auto"/>
        <w:jc w:val="both"/>
        <w:rPr>
          <w:rStyle w:val="nfasis"/>
          <w:rFonts w:ascii="Arial" w:eastAsia="Calibri" w:hAnsi="Arial" w:cs="Arial"/>
          <w:b/>
          <w:i w:val="0"/>
          <w:lang w:val="es-VE" w:eastAsia="en-US"/>
        </w:rPr>
      </w:pPr>
      <w:r w:rsidRPr="00EE6FBE">
        <w:rPr>
          <w:rStyle w:val="nfasis"/>
          <w:rFonts w:ascii="Arial" w:eastAsia="Calibri" w:hAnsi="Arial" w:cs="Arial"/>
          <w:b/>
          <w:i w:val="0"/>
          <w:lang w:val="es-VE" w:eastAsia="en-US"/>
        </w:rPr>
        <w:t>Determinaciones sociales del conflicto fronterizo colombo-venezolano:</w:t>
      </w:r>
    </w:p>
    <w:p w:rsidR="003661F7" w:rsidRPr="00EE6FBE" w:rsidRDefault="003661F7" w:rsidP="003661F7">
      <w:pPr>
        <w:numPr>
          <w:ilvl w:val="0"/>
          <w:numId w:val="16"/>
        </w:numPr>
        <w:tabs>
          <w:tab w:val="left" w:pos="284"/>
        </w:tabs>
        <w:spacing w:after="200" w:line="360" w:lineRule="auto"/>
        <w:contextualSpacing/>
        <w:jc w:val="both"/>
        <w:rPr>
          <w:rStyle w:val="nfasis"/>
          <w:rFonts w:ascii="Arial" w:eastAsia="Calibri" w:hAnsi="Arial" w:cs="Arial"/>
          <w:i w:val="0"/>
        </w:rPr>
      </w:pPr>
      <w:r w:rsidRPr="00EE6FBE">
        <w:rPr>
          <w:rStyle w:val="nfasis"/>
          <w:rFonts w:ascii="Arial" w:eastAsia="Calibri" w:hAnsi="Arial" w:cs="Arial"/>
          <w:i w:val="0"/>
          <w:lang w:val="es-VE" w:eastAsia="en-US"/>
        </w:rPr>
        <w:t xml:space="preserve">El eje Táchira-Norte de Santander de la frontera colombo-venezolana, es un “espacio global de intensa acumulación transnacional” (Sandoval, 2016. P. 200), pues constituye un enclave de acumulación de capital de gran relevancia en el hemisferio, a partir de las siguientes variables: </w:t>
      </w:r>
    </w:p>
    <w:p w:rsidR="003661F7" w:rsidRPr="00EE6FBE" w:rsidRDefault="003661F7" w:rsidP="003661F7">
      <w:pPr>
        <w:numPr>
          <w:ilvl w:val="0"/>
          <w:numId w:val="16"/>
        </w:numPr>
        <w:tabs>
          <w:tab w:val="left" w:pos="284"/>
        </w:tabs>
        <w:spacing w:after="200" w:line="360" w:lineRule="auto"/>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Desarrolla un intercambio económico formal e informal de enormes escalas: de acuerdo con cifras oficiales, en el año 2008 el comercio entre los dos países registró transacciones que superaron los 7 mil millones de dólares americanos (CEPAL, 2016). De igual manera, los presidentes de Venezuela y Colombia han expuesto su preocupación ante las millonarias pérdidas económicas de los dos países por concepto de comercio ilegal. </w:t>
      </w: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p>
    <w:p w:rsidR="003661F7" w:rsidRPr="003661F7" w:rsidRDefault="003661F7" w:rsidP="003661F7">
      <w:pPr>
        <w:tabs>
          <w:tab w:val="left" w:pos="284"/>
        </w:tabs>
        <w:spacing w:after="200" w:line="360" w:lineRule="auto"/>
        <w:ind w:left="1080"/>
        <w:contextualSpacing/>
        <w:jc w:val="both"/>
        <w:rPr>
          <w:rStyle w:val="nfasis"/>
          <w:rFonts w:ascii="Arial" w:eastAsia="Calibri" w:hAnsi="Arial" w:cs="Arial"/>
          <w:i w:val="0"/>
        </w:rPr>
      </w:pPr>
      <w:r w:rsidRPr="00EE6FBE">
        <w:rPr>
          <w:rStyle w:val="nfasis"/>
          <w:rFonts w:ascii="Arial" w:eastAsia="Calibri" w:hAnsi="Arial" w:cs="Arial"/>
          <w:i w:val="0"/>
          <w:lang w:val="es-VE" w:eastAsia="en-US"/>
        </w:rPr>
        <w:t xml:space="preserve">Los extensos e intensos flujos de materia, información, tecnología y fuerza de trabajo (todos concebidos como mercancías en la lógica del capital), que transitan por ese nodo de intercambio, tienen una relevancia notable en la economía del hemisferio. </w:t>
      </w:r>
    </w:p>
    <w:p w:rsidR="003661F7" w:rsidRPr="003661F7" w:rsidRDefault="003661F7" w:rsidP="003661F7">
      <w:pPr>
        <w:tabs>
          <w:tab w:val="left" w:pos="284"/>
        </w:tabs>
        <w:spacing w:after="200" w:line="360" w:lineRule="auto"/>
        <w:ind w:left="1080"/>
        <w:contextualSpacing/>
        <w:jc w:val="both"/>
        <w:rPr>
          <w:rStyle w:val="nfasis"/>
          <w:rFonts w:ascii="Arial" w:eastAsia="Calibri" w:hAnsi="Arial" w:cs="Arial"/>
          <w:i w:val="0"/>
        </w:rPr>
      </w:pP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Incluso en el marco del cierre parcial del tránsito fronterizo, y de la paralización del intercambio comercial formal binacional, se produjeron operaciones económicas de gran magnitud. Según el Informe de la CEPAL precitado, la Dirección de Aduanas Nacionales de Colombia (DIAN), realizó incautaciones de mercancías estimadas en 14,6 miles de millones de pesos colombianos, una cifra que se aproxima a los 5 mil millones de dólares americanos</w:t>
      </w:r>
      <w:r w:rsidRPr="00EE6FBE">
        <w:rPr>
          <w:rStyle w:val="nfasis"/>
          <w:rFonts w:ascii="Arial" w:eastAsia="Calibri" w:hAnsi="Arial" w:cs="Arial"/>
          <w:i w:val="0"/>
          <w:lang w:val="es-VE" w:eastAsia="en-US"/>
        </w:rPr>
        <w:endnoteReference w:id="1"/>
      </w:r>
      <w:r w:rsidRPr="00EE6FBE">
        <w:rPr>
          <w:rStyle w:val="nfasis"/>
          <w:rFonts w:ascii="Arial" w:eastAsia="Calibri" w:hAnsi="Arial" w:cs="Arial"/>
          <w:i w:val="0"/>
          <w:lang w:val="es-VE" w:eastAsia="en-US"/>
        </w:rPr>
        <w:t xml:space="preserve">. </w:t>
      </w: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p>
    <w:p w:rsidR="003661F7" w:rsidRPr="00EE6FBE" w:rsidRDefault="003661F7" w:rsidP="003661F7">
      <w:pPr>
        <w:numPr>
          <w:ilvl w:val="0"/>
          <w:numId w:val="16"/>
        </w:numPr>
        <w:tabs>
          <w:tab w:val="left" w:pos="284"/>
        </w:tabs>
        <w:spacing w:after="200" w:line="360" w:lineRule="auto"/>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Su dinámica económica permite la captación de renta a escalas astronómicas, proveniente de dos fuentes de gran envergadura orgánicas con el capital monopólico transnacional: el ingreso petrolero venezolano y el negocio del narcotráfico. </w:t>
      </w: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En la ciudad de Cúcuta se está produciendo un proceso de especulación financiera de gran escala contra Venezuela. Agencias de capital ficticio localizadas en esa ciudad controlan el intercambio monetario, con lo cual se determina de manera arbitraria la devaluación inducida de la moneda venezolana, el informe de la CEPAL (julio de 2016. p. 14) deja claro que: “la depreciación continua y acelerada del tipo de cambio (…) no muestra una relación con la evolución del comercio” entre Venezuela y Colombia, es decir, no responde a ninguna lógica de intercambio económico.</w:t>
      </w: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Las operaciones de especulación que derivan en la devaluación del signo monetario venezolano, genera las condiciones para producir un saqueo sistemático de la renta petrolera venezolana, y de manera simultánea, permite el desarrollo de operaciones que facilitan la legitimación de capitales provenientes del narcotráfico.  </w:t>
      </w:r>
    </w:p>
    <w:p w:rsidR="003661F7" w:rsidRPr="00EE6FBE" w:rsidRDefault="003661F7" w:rsidP="003661F7">
      <w:pPr>
        <w:tabs>
          <w:tab w:val="left" w:pos="284"/>
        </w:tabs>
        <w:spacing w:after="200" w:line="360" w:lineRule="auto"/>
        <w:ind w:left="1080"/>
        <w:contextualSpacing/>
        <w:jc w:val="both"/>
        <w:rPr>
          <w:rStyle w:val="nfasis"/>
          <w:rFonts w:ascii="Arial" w:eastAsia="Calibri" w:hAnsi="Arial" w:cs="Arial"/>
          <w:i w:val="0"/>
          <w:lang w:val="es-VE" w:eastAsia="en-US"/>
        </w:rPr>
      </w:pPr>
    </w:p>
    <w:p w:rsidR="003661F7" w:rsidRPr="00EE6FBE" w:rsidRDefault="003661F7" w:rsidP="003661F7">
      <w:pPr>
        <w:numPr>
          <w:ilvl w:val="0"/>
          <w:numId w:val="15"/>
        </w:numPr>
        <w:tabs>
          <w:tab w:val="left" w:pos="284"/>
        </w:tabs>
        <w:spacing w:after="200" w:line="360" w:lineRule="auto"/>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La frontera colombo-venezolana es escenario de un Conflicto Geopolítico Trasnacional en el que convergen y se enfrentan fuerzas sociales, económicas y político-militares (que pugnan por el control de ese espacio). Por tanto, la frontera colombo-venezolana es un espacio estratégico para la dinámica de la correlación de fuerzas políticas en el continente. </w:t>
      </w:r>
    </w:p>
    <w:p w:rsidR="003661F7" w:rsidRPr="00EE6FBE" w:rsidRDefault="003661F7" w:rsidP="003661F7">
      <w:pPr>
        <w:tabs>
          <w:tab w:val="left" w:pos="284"/>
        </w:tabs>
        <w:spacing w:after="200" w:line="360" w:lineRule="auto"/>
        <w:ind w:left="720"/>
        <w:contextualSpacing/>
        <w:jc w:val="both"/>
        <w:rPr>
          <w:rStyle w:val="nfasis"/>
          <w:rFonts w:ascii="Arial" w:eastAsia="Calibri" w:hAnsi="Arial" w:cs="Arial"/>
          <w:i w:val="0"/>
          <w:lang w:val="es-VE" w:eastAsia="en-US"/>
        </w:rPr>
      </w:pPr>
    </w:p>
    <w:p w:rsidR="003661F7" w:rsidRPr="00EE6FBE" w:rsidRDefault="003661F7" w:rsidP="003661F7">
      <w:pPr>
        <w:tabs>
          <w:tab w:val="left" w:pos="284"/>
        </w:tabs>
        <w:spacing w:after="200" w:line="360" w:lineRule="auto"/>
        <w:ind w:left="720"/>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Tal situación explica la presencia de múltiples y muy diversas agencias transnacionales en el espacio fronterizo, entre las que sobresalen agencias afines a los intereses hegemónicos del capital transnacional, tales como: las fuerzas militares de los EE.UU. a través del Plan Colombia; Centrales de Inteligencia de países metropolitanos; Empresas de la industria energética; Consorcios de capital financiero; Corporaciones de la Industria Cultural, Ejércitos mercenarios conocidos como paramilitares, entre otras. </w:t>
      </w:r>
    </w:p>
    <w:p w:rsidR="003661F7" w:rsidRPr="00EE6FBE" w:rsidRDefault="003661F7" w:rsidP="003661F7">
      <w:pPr>
        <w:tabs>
          <w:tab w:val="left" w:pos="284"/>
        </w:tabs>
        <w:spacing w:after="200" w:line="360" w:lineRule="auto"/>
        <w:ind w:left="720"/>
        <w:contextualSpacing/>
        <w:jc w:val="both"/>
        <w:rPr>
          <w:rStyle w:val="nfasis"/>
          <w:rFonts w:ascii="Arial" w:eastAsia="Calibri" w:hAnsi="Arial" w:cs="Arial"/>
          <w:i w:val="0"/>
          <w:lang w:val="es-VE" w:eastAsia="en-US"/>
        </w:rPr>
      </w:pPr>
    </w:p>
    <w:p w:rsidR="003661F7" w:rsidRPr="00EE6FBE" w:rsidRDefault="003661F7" w:rsidP="003661F7">
      <w:pPr>
        <w:tabs>
          <w:tab w:val="left" w:pos="284"/>
        </w:tabs>
        <w:spacing w:after="200" w:line="360" w:lineRule="auto"/>
        <w:ind w:left="720"/>
        <w:contextualSpacing/>
        <w:jc w:val="both"/>
        <w:rPr>
          <w:rStyle w:val="nfasis"/>
          <w:rFonts w:ascii="Arial" w:eastAsia="Calibri" w:hAnsi="Arial" w:cs="Arial"/>
          <w:i w:val="0"/>
          <w:lang w:val="es-VE" w:eastAsia="en-US"/>
        </w:rPr>
      </w:pPr>
      <w:r w:rsidRPr="00EE6FBE">
        <w:rPr>
          <w:rStyle w:val="nfasis"/>
          <w:rFonts w:ascii="Arial" w:eastAsia="Calibri" w:hAnsi="Arial" w:cs="Arial"/>
          <w:i w:val="0"/>
          <w:lang w:val="es-VE" w:eastAsia="en-US"/>
        </w:rPr>
        <w:t xml:space="preserve">De igual manera, algunos factores contra hegemónicos respecto a los intereses del capital monopólico transnacional, entre las que se destacan: la influencia política de la revolución bolivariana y la existencia de la insurgencia colombiana, especialmente de las FARC-EP y el ELN. </w:t>
      </w:r>
    </w:p>
    <w:p w:rsidR="00FB06E4" w:rsidRPr="003661F7" w:rsidRDefault="003661F7" w:rsidP="00D544F3">
      <w:pPr>
        <w:rPr>
          <w:rFonts w:ascii="Arial" w:hAnsi="Arial" w:cs="Arial"/>
          <w:b/>
          <w:sz w:val="20"/>
          <w:szCs w:val="20"/>
        </w:rPr>
      </w:pPr>
      <w:hyperlink r:id="rId10" w:tgtFrame="_blank" w:history="1">
        <w:r w:rsidRPr="003661F7">
          <w:rPr>
            <w:rStyle w:val="Hipervnculo"/>
            <w:rFonts w:ascii="Arial" w:hAnsi="Arial" w:cs="Arial"/>
            <w:color w:val="1155CC"/>
            <w:shd w:val="clear" w:color="auto" w:fill="FFFFFF"/>
          </w:rPr>
          <w:t>jorgeforero89@gmail.com</w:t>
        </w:r>
      </w:hyperlink>
    </w:p>
    <w:p w:rsidR="00FB06E4" w:rsidRPr="003661F7" w:rsidRDefault="00FB06E4" w:rsidP="00D544F3">
      <w:pPr>
        <w:rPr>
          <w:rFonts w:ascii="Arial" w:hAnsi="Arial" w:cs="Arial"/>
          <w:b/>
          <w:sz w:val="20"/>
          <w:szCs w:val="20"/>
        </w:rPr>
      </w:pPr>
    </w:p>
    <w:p w:rsidR="008D5B65" w:rsidRPr="003661F7" w:rsidRDefault="00321C99" w:rsidP="008D5B65">
      <w:pPr>
        <w:jc w:val="right"/>
        <w:rPr>
          <w:rFonts w:ascii="Arial" w:hAnsi="Arial" w:cs="Arial"/>
          <w:b/>
          <w:sz w:val="20"/>
          <w:szCs w:val="20"/>
        </w:rPr>
      </w:pPr>
      <w:r w:rsidRPr="003661F7">
        <w:rPr>
          <w:rFonts w:ascii="Arial" w:hAnsi="Arial" w:cs="Arial"/>
          <w:b/>
          <w:sz w:val="20"/>
          <w:szCs w:val="20"/>
        </w:rPr>
        <w:t xml:space="preserve">Publicación Barómetro </w:t>
      </w:r>
      <w:r w:rsidR="003661F7" w:rsidRPr="003661F7">
        <w:rPr>
          <w:rFonts w:ascii="Arial" w:hAnsi="Arial" w:cs="Arial"/>
          <w:b/>
          <w:sz w:val="20"/>
          <w:szCs w:val="20"/>
        </w:rPr>
        <w:t>21-11</w:t>
      </w:r>
      <w:r w:rsidR="00D544F3" w:rsidRPr="003661F7">
        <w:rPr>
          <w:rFonts w:ascii="Arial" w:hAnsi="Arial" w:cs="Arial"/>
          <w:b/>
          <w:sz w:val="20"/>
          <w:szCs w:val="20"/>
        </w:rPr>
        <w:t>-16</w:t>
      </w:r>
    </w:p>
    <w:p w:rsidR="008D5B65" w:rsidRPr="003661F7" w:rsidRDefault="008D5B65" w:rsidP="008D5B65">
      <w:pPr>
        <w:pStyle w:val="Textonotaalfinal"/>
        <w:rPr>
          <w:rFonts w:ascii="Arial" w:hAnsi="Arial" w:cs="Arial"/>
        </w:rPr>
      </w:pPr>
      <w:r w:rsidRPr="003661F7">
        <w:rPr>
          <w:color w:val="FF0000"/>
          <w:spacing w:val="-6"/>
          <w:sz w:val="22"/>
          <w:szCs w:val="22"/>
          <w:lang w:val="es-MX"/>
        </w:rPr>
        <w:t>Los contenidos de los análisis publicados por Barómetro Internacional, son responsabilidad de los autores</w:t>
      </w:r>
    </w:p>
    <w:p w:rsidR="008D5B65" w:rsidRPr="003661F7" w:rsidRDefault="008D5B65" w:rsidP="008D5B65">
      <w:pPr>
        <w:tabs>
          <w:tab w:val="left" w:pos="5280"/>
        </w:tabs>
        <w:jc w:val="center"/>
        <w:rPr>
          <w:lang w:val="es-MX"/>
        </w:rPr>
      </w:pPr>
      <w:r w:rsidRPr="003661F7">
        <w:rPr>
          <w:lang w:val="es-MX"/>
        </w:rPr>
        <w:t>Agradecemos la publicación de estos artículos citando esta fuente y solicitamos favor remitir a nuestro correo el Link de la página donde está publicado. Gracias</w:t>
      </w:r>
    </w:p>
    <w:p w:rsidR="008D5B65" w:rsidRPr="003661F7" w:rsidRDefault="00A63B72" w:rsidP="008D5B65">
      <w:pPr>
        <w:tabs>
          <w:tab w:val="left" w:pos="5280"/>
        </w:tabs>
        <w:jc w:val="center"/>
        <w:rPr>
          <w:lang w:val="es-MX"/>
        </w:rPr>
      </w:pPr>
      <w:hyperlink r:id="rId11" w:history="1">
        <w:r w:rsidRPr="003661F7">
          <w:rPr>
            <w:rStyle w:val="Hipervnculo"/>
            <w:lang w:val="es-MX"/>
          </w:rPr>
          <w:t>internacional.barometro@gmail.com</w:t>
        </w:r>
      </w:hyperlink>
    </w:p>
    <w:p w:rsidR="00ED1329" w:rsidRPr="003661F7" w:rsidRDefault="00ED1329" w:rsidP="008D5B65">
      <w:pPr>
        <w:tabs>
          <w:tab w:val="left" w:pos="5280"/>
        </w:tabs>
        <w:jc w:val="center"/>
        <w:rPr>
          <w:lang w:val="es-MX"/>
        </w:rPr>
      </w:pPr>
    </w:p>
    <w:p w:rsidR="004233EF" w:rsidRPr="003661F7" w:rsidRDefault="004233EF" w:rsidP="004233EF">
      <w:pPr>
        <w:jc w:val="both"/>
        <w:rPr>
          <w:rFonts w:ascii="Arial" w:hAnsi="Arial" w:cs="Arial"/>
        </w:rPr>
      </w:pPr>
    </w:p>
    <w:p w:rsidR="004233EF" w:rsidRPr="003661F7" w:rsidRDefault="004233EF" w:rsidP="004233EF">
      <w:pPr>
        <w:jc w:val="both"/>
        <w:rPr>
          <w:rFonts w:ascii="Arial" w:hAnsi="Arial" w:cs="Arial"/>
        </w:rPr>
      </w:pPr>
    </w:p>
    <w:sectPr w:rsidR="004233EF" w:rsidRPr="003661F7" w:rsidSect="00524C22">
      <w:endnotePr>
        <w:numFmt w:val="decimal"/>
      </w:end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A8" w:rsidRDefault="00312DA8">
      <w:r>
        <w:separator/>
      </w:r>
    </w:p>
  </w:endnote>
  <w:endnote w:type="continuationSeparator" w:id="0">
    <w:p w:rsidR="00312DA8" w:rsidRDefault="00312DA8">
      <w:r>
        <w:continuationSeparator/>
      </w:r>
    </w:p>
  </w:endnote>
  <w:endnote w:id="1">
    <w:p w:rsidR="003661F7" w:rsidRDefault="003661F7" w:rsidP="003661F7">
      <w:pPr>
        <w:pStyle w:val="Textonotaalfinal"/>
        <w:jc w:val="both"/>
      </w:pPr>
      <w:r>
        <w:rPr>
          <w:rStyle w:val="Refdenotaalfinal"/>
        </w:rPr>
        <w:endnoteRef/>
      </w:r>
      <w:r>
        <w:t xml:space="preserve"> Es preciso destacar que este intercambio se produjo en un escenario de la paralización del comercio formal entre los dos países, es decir, en el marco del denominado cierre de la frontera. Este dato demuestra que los flujos económicos, y con ellos, el proceso de transferencia de renta (los valores de cambio más notables de esas transacciones está vinculada con bienes de capital), así como las operaciones de especulación financiera contra Venezuela, no se detuvieron con las medidas de agosto de 2015. </w:t>
      </w:r>
    </w:p>
    <w:p w:rsidR="003661F7" w:rsidRDefault="003661F7" w:rsidP="003661F7">
      <w:pPr>
        <w:pStyle w:val="Textonotaalfinal"/>
      </w:pPr>
    </w:p>
    <w:p w:rsidR="003661F7" w:rsidRPr="00794FBC" w:rsidRDefault="003661F7" w:rsidP="003661F7">
      <w:pPr>
        <w:pStyle w:val="Textonotaalfinal"/>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A8" w:rsidRDefault="00312DA8">
      <w:r>
        <w:separator/>
      </w:r>
    </w:p>
  </w:footnote>
  <w:footnote w:type="continuationSeparator" w:id="0">
    <w:p w:rsidR="00312DA8" w:rsidRDefault="00312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293"/>
    <w:multiLevelType w:val="hybridMultilevel"/>
    <w:tmpl w:val="CA98BA86"/>
    <w:lvl w:ilvl="0" w:tplc="99D4051E">
      <w:start w:val="1"/>
      <w:numFmt w:val="decimal"/>
      <w:lvlText w:val="%1)"/>
      <w:lvlJc w:val="left"/>
      <w:pPr>
        <w:tabs>
          <w:tab w:val="num" w:pos="360"/>
        </w:tabs>
        <w:ind w:left="360" w:hanging="360"/>
      </w:pPr>
      <w:rPr>
        <w:rFonts w:hint="default"/>
        <w:b w:val="0"/>
        <w:color w:val="auto"/>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C8E62E7"/>
    <w:multiLevelType w:val="hybridMultilevel"/>
    <w:tmpl w:val="B492F1D8"/>
    <w:lvl w:ilvl="0" w:tplc="0C0A0011">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F875743"/>
    <w:multiLevelType w:val="hybridMultilevel"/>
    <w:tmpl w:val="7F9C150A"/>
    <w:lvl w:ilvl="0" w:tplc="9050EBE4">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F974F9"/>
    <w:multiLevelType w:val="hybridMultilevel"/>
    <w:tmpl w:val="6CA8E7A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025956"/>
    <w:multiLevelType w:val="hybridMultilevel"/>
    <w:tmpl w:val="F59AD7F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9835E71"/>
    <w:multiLevelType w:val="hybridMultilevel"/>
    <w:tmpl w:val="3A4271B4"/>
    <w:lvl w:ilvl="0" w:tplc="200A0005">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6">
    <w:nsid w:val="218B0120"/>
    <w:multiLevelType w:val="hybridMultilevel"/>
    <w:tmpl w:val="669E16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5A2DCD"/>
    <w:multiLevelType w:val="multilevel"/>
    <w:tmpl w:val="A35EFE46"/>
    <w:lvl w:ilvl="0">
      <w:start w:val="1"/>
      <w:numFmt w:val="decimal"/>
      <w:lvlText w:val="%1."/>
      <w:lvlJc w:val="left"/>
      <w:pPr>
        <w:ind w:left="720" w:hanging="360"/>
      </w:pPr>
      <w:rPr>
        <w:rFonts w:hint="default"/>
        <w:b/>
      </w:rPr>
    </w:lvl>
    <w:lvl w:ilvl="1">
      <w:start w:val="1"/>
      <w:numFmt w:val="decimal"/>
      <w:lvlText w:val="%2."/>
      <w:lvlJc w:val="left"/>
      <w:pPr>
        <w:ind w:left="45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CA451F7"/>
    <w:multiLevelType w:val="hybridMultilevel"/>
    <w:tmpl w:val="15EE8A3E"/>
    <w:lvl w:ilvl="0" w:tplc="915AAD8A">
      <w:start w:val="1"/>
      <w:numFmt w:val="decimal"/>
      <w:lvlText w:val="%1)"/>
      <w:lvlJc w:val="left"/>
      <w:pPr>
        <w:ind w:left="170" w:hanging="17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4571C58"/>
    <w:multiLevelType w:val="hybridMultilevel"/>
    <w:tmpl w:val="E14A67C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34584139"/>
    <w:multiLevelType w:val="hybridMultilevel"/>
    <w:tmpl w:val="EB1ADF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E365E06"/>
    <w:multiLevelType w:val="hybridMultilevel"/>
    <w:tmpl w:val="7E0869B2"/>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9D82B18"/>
    <w:multiLevelType w:val="hybridMultilevel"/>
    <w:tmpl w:val="29ECBC94"/>
    <w:lvl w:ilvl="0" w:tplc="D91474BE">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549A6CAF"/>
    <w:multiLevelType w:val="hybridMultilevel"/>
    <w:tmpl w:val="24866E7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7807F74"/>
    <w:multiLevelType w:val="hybridMultilevel"/>
    <w:tmpl w:val="9EC80C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3746D83"/>
    <w:multiLevelType w:val="hybridMultilevel"/>
    <w:tmpl w:val="302423BE"/>
    <w:lvl w:ilvl="0" w:tplc="DE2CBB70">
      <w:start w:val="1"/>
      <w:numFmt w:val="decimal"/>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1"/>
  </w:num>
  <w:num w:numId="2">
    <w:abstractNumId w:val="9"/>
  </w:num>
  <w:num w:numId="3">
    <w:abstractNumId w:val="4"/>
  </w:num>
  <w:num w:numId="4">
    <w:abstractNumId w:val="15"/>
  </w:num>
  <w:num w:numId="5">
    <w:abstractNumId w:val="0"/>
  </w:num>
  <w:num w:numId="6">
    <w:abstractNumId w:val="12"/>
  </w:num>
  <w:num w:numId="7">
    <w:abstractNumId w:val="3"/>
  </w:num>
  <w:num w:numId="8">
    <w:abstractNumId w:val="6"/>
  </w:num>
  <w:num w:numId="9">
    <w:abstractNumId w:val="10"/>
  </w:num>
  <w:num w:numId="10">
    <w:abstractNumId w:val="14"/>
  </w:num>
  <w:num w:numId="11">
    <w:abstractNumId w:val="2"/>
  </w:num>
  <w:num w:numId="12">
    <w:abstractNumId w:val="8"/>
  </w:num>
  <w:num w:numId="13">
    <w:abstractNumId w:val="13"/>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AE"/>
    <w:rsid w:val="00015261"/>
    <w:rsid w:val="000165AA"/>
    <w:rsid w:val="00022969"/>
    <w:rsid w:val="000274AE"/>
    <w:rsid w:val="00032EDC"/>
    <w:rsid w:val="00034ABA"/>
    <w:rsid w:val="0004130F"/>
    <w:rsid w:val="000423CA"/>
    <w:rsid w:val="00042801"/>
    <w:rsid w:val="000464BA"/>
    <w:rsid w:val="00050F47"/>
    <w:rsid w:val="00051C37"/>
    <w:rsid w:val="000543E2"/>
    <w:rsid w:val="000545AD"/>
    <w:rsid w:val="00056292"/>
    <w:rsid w:val="00062840"/>
    <w:rsid w:val="00063C08"/>
    <w:rsid w:val="0006740F"/>
    <w:rsid w:val="000750E5"/>
    <w:rsid w:val="000751B4"/>
    <w:rsid w:val="0007766D"/>
    <w:rsid w:val="00082693"/>
    <w:rsid w:val="0008456A"/>
    <w:rsid w:val="000866A6"/>
    <w:rsid w:val="000875F4"/>
    <w:rsid w:val="00087695"/>
    <w:rsid w:val="00092694"/>
    <w:rsid w:val="00092B9C"/>
    <w:rsid w:val="000936DA"/>
    <w:rsid w:val="00094353"/>
    <w:rsid w:val="00097BBE"/>
    <w:rsid w:val="000A0086"/>
    <w:rsid w:val="000A2FD3"/>
    <w:rsid w:val="000A37A0"/>
    <w:rsid w:val="000A3EA1"/>
    <w:rsid w:val="000B26F5"/>
    <w:rsid w:val="000B3008"/>
    <w:rsid w:val="000B4D71"/>
    <w:rsid w:val="000B78C7"/>
    <w:rsid w:val="000B7B7C"/>
    <w:rsid w:val="000C2F97"/>
    <w:rsid w:val="000D584B"/>
    <w:rsid w:val="000D6DC8"/>
    <w:rsid w:val="000E005E"/>
    <w:rsid w:val="000E223E"/>
    <w:rsid w:val="000E337E"/>
    <w:rsid w:val="000E43E7"/>
    <w:rsid w:val="000E6B07"/>
    <w:rsid w:val="000F0313"/>
    <w:rsid w:val="000F2E00"/>
    <w:rsid w:val="00100CF5"/>
    <w:rsid w:val="00103E28"/>
    <w:rsid w:val="00107385"/>
    <w:rsid w:val="00107AB7"/>
    <w:rsid w:val="00110321"/>
    <w:rsid w:val="00114699"/>
    <w:rsid w:val="00116DBE"/>
    <w:rsid w:val="00122204"/>
    <w:rsid w:val="0012236F"/>
    <w:rsid w:val="00126F93"/>
    <w:rsid w:val="00130AA8"/>
    <w:rsid w:val="00131550"/>
    <w:rsid w:val="001326EE"/>
    <w:rsid w:val="00134483"/>
    <w:rsid w:val="0013776E"/>
    <w:rsid w:val="00140331"/>
    <w:rsid w:val="00142434"/>
    <w:rsid w:val="00143925"/>
    <w:rsid w:val="00144658"/>
    <w:rsid w:val="00155F37"/>
    <w:rsid w:val="0016077E"/>
    <w:rsid w:val="001625BF"/>
    <w:rsid w:val="0016408C"/>
    <w:rsid w:val="001702B9"/>
    <w:rsid w:val="001779D9"/>
    <w:rsid w:val="00180A60"/>
    <w:rsid w:val="0018595D"/>
    <w:rsid w:val="001865E1"/>
    <w:rsid w:val="00191269"/>
    <w:rsid w:val="001920F0"/>
    <w:rsid w:val="0019594F"/>
    <w:rsid w:val="0019699B"/>
    <w:rsid w:val="00196B5C"/>
    <w:rsid w:val="00197132"/>
    <w:rsid w:val="00197E93"/>
    <w:rsid w:val="001A6B88"/>
    <w:rsid w:val="001A7CE8"/>
    <w:rsid w:val="001A7E73"/>
    <w:rsid w:val="001B0490"/>
    <w:rsid w:val="001B1700"/>
    <w:rsid w:val="001B1C50"/>
    <w:rsid w:val="001B23C0"/>
    <w:rsid w:val="001C0028"/>
    <w:rsid w:val="001C526C"/>
    <w:rsid w:val="001C5CA4"/>
    <w:rsid w:val="001D020F"/>
    <w:rsid w:val="001D0375"/>
    <w:rsid w:val="001D1600"/>
    <w:rsid w:val="001D49EC"/>
    <w:rsid w:val="001D50D7"/>
    <w:rsid w:val="001D5D5F"/>
    <w:rsid w:val="001D7D72"/>
    <w:rsid w:val="001E1668"/>
    <w:rsid w:val="001E52DA"/>
    <w:rsid w:val="001F30C3"/>
    <w:rsid w:val="001F70E7"/>
    <w:rsid w:val="00203956"/>
    <w:rsid w:val="00205D7D"/>
    <w:rsid w:val="0020691D"/>
    <w:rsid w:val="002076EA"/>
    <w:rsid w:val="00216860"/>
    <w:rsid w:val="00220384"/>
    <w:rsid w:val="002262A3"/>
    <w:rsid w:val="00226EE6"/>
    <w:rsid w:val="002309CC"/>
    <w:rsid w:val="00232271"/>
    <w:rsid w:val="002331CC"/>
    <w:rsid w:val="0023393F"/>
    <w:rsid w:val="002371E6"/>
    <w:rsid w:val="00240686"/>
    <w:rsid w:val="0024543E"/>
    <w:rsid w:val="00246E22"/>
    <w:rsid w:val="00247484"/>
    <w:rsid w:val="00247B2C"/>
    <w:rsid w:val="00250CF6"/>
    <w:rsid w:val="00251EAD"/>
    <w:rsid w:val="002710BE"/>
    <w:rsid w:val="00284E0F"/>
    <w:rsid w:val="00292E17"/>
    <w:rsid w:val="00292F8D"/>
    <w:rsid w:val="0029583F"/>
    <w:rsid w:val="002A05AD"/>
    <w:rsid w:val="002A2E53"/>
    <w:rsid w:val="002A4867"/>
    <w:rsid w:val="002B203C"/>
    <w:rsid w:val="002B2A9C"/>
    <w:rsid w:val="002B316A"/>
    <w:rsid w:val="002B5970"/>
    <w:rsid w:val="002C0996"/>
    <w:rsid w:val="002C1125"/>
    <w:rsid w:val="002C1216"/>
    <w:rsid w:val="002C20D5"/>
    <w:rsid w:val="002C27DB"/>
    <w:rsid w:val="002C3667"/>
    <w:rsid w:val="002C39DD"/>
    <w:rsid w:val="002E33B8"/>
    <w:rsid w:val="002F5386"/>
    <w:rsid w:val="0030306A"/>
    <w:rsid w:val="00311280"/>
    <w:rsid w:val="00312C7D"/>
    <w:rsid w:val="00312DA8"/>
    <w:rsid w:val="0031638A"/>
    <w:rsid w:val="00321C99"/>
    <w:rsid w:val="00325087"/>
    <w:rsid w:val="003265DE"/>
    <w:rsid w:val="0032759E"/>
    <w:rsid w:val="003310EC"/>
    <w:rsid w:val="003317E1"/>
    <w:rsid w:val="00331D49"/>
    <w:rsid w:val="0033689A"/>
    <w:rsid w:val="00336FA2"/>
    <w:rsid w:val="00337198"/>
    <w:rsid w:val="003371AE"/>
    <w:rsid w:val="0034793F"/>
    <w:rsid w:val="00347E90"/>
    <w:rsid w:val="00350574"/>
    <w:rsid w:val="00353BB4"/>
    <w:rsid w:val="00362506"/>
    <w:rsid w:val="00364544"/>
    <w:rsid w:val="00365626"/>
    <w:rsid w:val="003661F7"/>
    <w:rsid w:val="00366C37"/>
    <w:rsid w:val="0036729A"/>
    <w:rsid w:val="00370DFA"/>
    <w:rsid w:val="00376337"/>
    <w:rsid w:val="003771AB"/>
    <w:rsid w:val="00377E2C"/>
    <w:rsid w:val="00381691"/>
    <w:rsid w:val="003852F8"/>
    <w:rsid w:val="003A6388"/>
    <w:rsid w:val="003B122E"/>
    <w:rsid w:val="003B3AB5"/>
    <w:rsid w:val="003C2B71"/>
    <w:rsid w:val="003D0AB5"/>
    <w:rsid w:val="003D543A"/>
    <w:rsid w:val="003E6A40"/>
    <w:rsid w:val="003E77CF"/>
    <w:rsid w:val="003F1888"/>
    <w:rsid w:val="00401A23"/>
    <w:rsid w:val="00421321"/>
    <w:rsid w:val="00421E67"/>
    <w:rsid w:val="004233EF"/>
    <w:rsid w:val="00424D4B"/>
    <w:rsid w:val="00424ECD"/>
    <w:rsid w:val="00431E06"/>
    <w:rsid w:val="004328BE"/>
    <w:rsid w:val="00434BB9"/>
    <w:rsid w:val="00436F2A"/>
    <w:rsid w:val="0043755D"/>
    <w:rsid w:val="00440550"/>
    <w:rsid w:val="004514D4"/>
    <w:rsid w:val="0045190D"/>
    <w:rsid w:val="00452FCD"/>
    <w:rsid w:val="00461AAA"/>
    <w:rsid w:val="0046251D"/>
    <w:rsid w:val="004625F1"/>
    <w:rsid w:val="004633A4"/>
    <w:rsid w:val="004668ED"/>
    <w:rsid w:val="00475238"/>
    <w:rsid w:val="0047715B"/>
    <w:rsid w:val="00477C0C"/>
    <w:rsid w:val="00477EB3"/>
    <w:rsid w:val="00483D6B"/>
    <w:rsid w:val="0048450B"/>
    <w:rsid w:val="00485E60"/>
    <w:rsid w:val="00490FF8"/>
    <w:rsid w:val="0049476B"/>
    <w:rsid w:val="00494D3E"/>
    <w:rsid w:val="0049555A"/>
    <w:rsid w:val="004A28AB"/>
    <w:rsid w:val="004A57A2"/>
    <w:rsid w:val="004A610A"/>
    <w:rsid w:val="004A7DAD"/>
    <w:rsid w:val="004C0270"/>
    <w:rsid w:val="004C7D2A"/>
    <w:rsid w:val="004D104E"/>
    <w:rsid w:val="004D4A1B"/>
    <w:rsid w:val="004D7958"/>
    <w:rsid w:val="004E0CFF"/>
    <w:rsid w:val="004E1EBC"/>
    <w:rsid w:val="004E516C"/>
    <w:rsid w:val="004E660A"/>
    <w:rsid w:val="004E7CA8"/>
    <w:rsid w:val="004F492D"/>
    <w:rsid w:val="004F5079"/>
    <w:rsid w:val="004F54B3"/>
    <w:rsid w:val="004F5DD9"/>
    <w:rsid w:val="004F6CF9"/>
    <w:rsid w:val="00500E68"/>
    <w:rsid w:val="00503C56"/>
    <w:rsid w:val="00503C73"/>
    <w:rsid w:val="0051054B"/>
    <w:rsid w:val="00510599"/>
    <w:rsid w:val="00521753"/>
    <w:rsid w:val="005236FE"/>
    <w:rsid w:val="00524C22"/>
    <w:rsid w:val="00533C6E"/>
    <w:rsid w:val="00534211"/>
    <w:rsid w:val="00535BAE"/>
    <w:rsid w:val="00536413"/>
    <w:rsid w:val="00540C04"/>
    <w:rsid w:val="00542A31"/>
    <w:rsid w:val="00543E82"/>
    <w:rsid w:val="00543FAE"/>
    <w:rsid w:val="005440E6"/>
    <w:rsid w:val="00546282"/>
    <w:rsid w:val="005467CD"/>
    <w:rsid w:val="00547256"/>
    <w:rsid w:val="0055356B"/>
    <w:rsid w:val="00561649"/>
    <w:rsid w:val="00564EA2"/>
    <w:rsid w:val="005652C7"/>
    <w:rsid w:val="00571C7B"/>
    <w:rsid w:val="00572C31"/>
    <w:rsid w:val="00577030"/>
    <w:rsid w:val="00580421"/>
    <w:rsid w:val="0058131F"/>
    <w:rsid w:val="005828AB"/>
    <w:rsid w:val="00585E02"/>
    <w:rsid w:val="00590F93"/>
    <w:rsid w:val="00595EA5"/>
    <w:rsid w:val="0059606D"/>
    <w:rsid w:val="0059681B"/>
    <w:rsid w:val="00597829"/>
    <w:rsid w:val="005A23FB"/>
    <w:rsid w:val="005A2B68"/>
    <w:rsid w:val="005A4C29"/>
    <w:rsid w:val="005A6C98"/>
    <w:rsid w:val="005A7AF3"/>
    <w:rsid w:val="005B1E54"/>
    <w:rsid w:val="005B1F89"/>
    <w:rsid w:val="005B4133"/>
    <w:rsid w:val="005B4B6D"/>
    <w:rsid w:val="005B5950"/>
    <w:rsid w:val="005B7572"/>
    <w:rsid w:val="005B7A3C"/>
    <w:rsid w:val="005C0A18"/>
    <w:rsid w:val="005C3CD8"/>
    <w:rsid w:val="005C457B"/>
    <w:rsid w:val="005C469B"/>
    <w:rsid w:val="005C5CB3"/>
    <w:rsid w:val="005E454A"/>
    <w:rsid w:val="005F046D"/>
    <w:rsid w:val="005F5498"/>
    <w:rsid w:val="00600902"/>
    <w:rsid w:val="00602A94"/>
    <w:rsid w:val="00604147"/>
    <w:rsid w:val="00607B21"/>
    <w:rsid w:val="00607D65"/>
    <w:rsid w:val="006104A8"/>
    <w:rsid w:val="006110C1"/>
    <w:rsid w:val="0061116D"/>
    <w:rsid w:val="00611DD6"/>
    <w:rsid w:val="00613AB6"/>
    <w:rsid w:val="00614428"/>
    <w:rsid w:val="006164E9"/>
    <w:rsid w:val="00626962"/>
    <w:rsid w:val="00632313"/>
    <w:rsid w:val="0065012D"/>
    <w:rsid w:val="006609A5"/>
    <w:rsid w:val="00671781"/>
    <w:rsid w:val="00671AE2"/>
    <w:rsid w:val="00671EDA"/>
    <w:rsid w:val="00672183"/>
    <w:rsid w:val="00672725"/>
    <w:rsid w:val="0067353A"/>
    <w:rsid w:val="00681E73"/>
    <w:rsid w:val="006864BB"/>
    <w:rsid w:val="00694445"/>
    <w:rsid w:val="006A37E6"/>
    <w:rsid w:val="006A51F4"/>
    <w:rsid w:val="006A6F29"/>
    <w:rsid w:val="006B57BC"/>
    <w:rsid w:val="006B621D"/>
    <w:rsid w:val="006C55B8"/>
    <w:rsid w:val="006D1850"/>
    <w:rsid w:val="006D5FB6"/>
    <w:rsid w:val="006E1881"/>
    <w:rsid w:val="006E5B3F"/>
    <w:rsid w:val="006E6AA6"/>
    <w:rsid w:val="006E6B25"/>
    <w:rsid w:val="006F5B0B"/>
    <w:rsid w:val="007003AF"/>
    <w:rsid w:val="00701FA9"/>
    <w:rsid w:val="00702B10"/>
    <w:rsid w:val="00703347"/>
    <w:rsid w:val="00714393"/>
    <w:rsid w:val="00717183"/>
    <w:rsid w:val="00733BB7"/>
    <w:rsid w:val="00734EB6"/>
    <w:rsid w:val="007351DC"/>
    <w:rsid w:val="007354FD"/>
    <w:rsid w:val="00735EEA"/>
    <w:rsid w:val="00737056"/>
    <w:rsid w:val="00737255"/>
    <w:rsid w:val="00737263"/>
    <w:rsid w:val="0074234E"/>
    <w:rsid w:val="007512CF"/>
    <w:rsid w:val="007518F4"/>
    <w:rsid w:val="007525E2"/>
    <w:rsid w:val="007526C0"/>
    <w:rsid w:val="00752F19"/>
    <w:rsid w:val="00756C42"/>
    <w:rsid w:val="00762671"/>
    <w:rsid w:val="00762DAF"/>
    <w:rsid w:val="0076600F"/>
    <w:rsid w:val="0077371E"/>
    <w:rsid w:val="007740C4"/>
    <w:rsid w:val="007740E9"/>
    <w:rsid w:val="007822DA"/>
    <w:rsid w:val="00783501"/>
    <w:rsid w:val="0079335B"/>
    <w:rsid w:val="007B30C6"/>
    <w:rsid w:val="007B3BF9"/>
    <w:rsid w:val="007B4D7A"/>
    <w:rsid w:val="007B57B8"/>
    <w:rsid w:val="007B61CB"/>
    <w:rsid w:val="007C3DFC"/>
    <w:rsid w:val="007C42CD"/>
    <w:rsid w:val="007C74C5"/>
    <w:rsid w:val="007D37CF"/>
    <w:rsid w:val="007D46FE"/>
    <w:rsid w:val="007D5E8A"/>
    <w:rsid w:val="007E243E"/>
    <w:rsid w:val="007E2503"/>
    <w:rsid w:val="007E66EE"/>
    <w:rsid w:val="007E79B8"/>
    <w:rsid w:val="007E7BD4"/>
    <w:rsid w:val="007F073F"/>
    <w:rsid w:val="007F5BE9"/>
    <w:rsid w:val="007F792E"/>
    <w:rsid w:val="007F7B17"/>
    <w:rsid w:val="00801D32"/>
    <w:rsid w:val="00803396"/>
    <w:rsid w:val="008140B7"/>
    <w:rsid w:val="008141ED"/>
    <w:rsid w:val="00815CEC"/>
    <w:rsid w:val="00816921"/>
    <w:rsid w:val="00820591"/>
    <w:rsid w:val="00822BEF"/>
    <w:rsid w:val="00822F99"/>
    <w:rsid w:val="008230BB"/>
    <w:rsid w:val="00823177"/>
    <w:rsid w:val="00833B91"/>
    <w:rsid w:val="00850CB2"/>
    <w:rsid w:val="00850FFD"/>
    <w:rsid w:val="00851861"/>
    <w:rsid w:val="00856B35"/>
    <w:rsid w:val="008645F4"/>
    <w:rsid w:val="00874297"/>
    <w:rsid w:val="00874A10"/>
    <w:rsid w:val="00875CEA"/>
    <w:rsid w:val="008769C5"/>
    <w:rsid w:val="008A5A4E"/>
    <w:rsid w:val="008A7651"/>
    <w:rsid w:val="008A7C5D"/>
    <w:rsid w:val="008B331C"/>
    <w:rsid w:val="008B4B52"/>
    <w:rsid w:val="008C0ACE"/>
    <w:rsid w:val="008C254C"/>
    <w:rsid w:val="008D0D00"/>
    <w:rsid w:val="008D5B65"/>
    <w:rsid w:val="008D6429"/>
    <w:rsid w:val="008F43A2"/>
    <w:rsid w:val="008F7036"/>
    <w:rsid w:val="00900988"/>
    <w:rsid w:val="009015FE"/>
    <w:rsid w:val="009034EA"/>
    <w:rsid w:val="009042E5"/>
    <w:rsid w:val="009169CD"/>
    <w:rsid w:val="009172F3"/>
    <w:rsid w:val="00925BDD"/>
    <w:rsid w:val="00926073"/>
    <w:rsid w:val="00926633"/>
    <w:rsid w:val="0093034E"/>
    <w:rsid w:val="00931DD0"/>
    <w:rsid w:val="00935784"/>
    <w:rsid w:val="0093611D"/>
    <w:rsid w:val="00936E5C"/>
    <w:rsid w:val="0093787A"/>
    <w:rsid w:val="0094040F"/>
    <w:rsid w:val="00941947"/>
    <w:rsid w:val="00945A21"/>
    <w:rsid w:val="00946E3C"/>
    <w:rsid w:val="00961FA7"/>
    <w:rsid w:val="00965047"/>
    <w:rsid w:val="009662F0"/>
    <w:rsid w:val="00970662"/>
    <w:rsid w:val="009716B2"/>
    <w:rsid w:val="0099453B"/>
    <w:rsid w:val="00996519"/>
    <w:rsid w:val="009969D3"/>
    <w:rsid w:val="009972F5"/>
    <w:rsid w:val="00997E98"/>
    <w:rsid w:val="009A5854"/>
    <w:rsid w:val="009B4D4B"/>
    <w:rsid w:val="009B6638"/>
    <w:rsid w:val="009C72D5"/>
    <w:rsid w:val="009C771E"/>
    <w:rsid w:val="009C7D72"/>
    <w:rsid w:val="009D78DE"/>
    <w:rsid w:val="009E56D5"/>
    <w:rsid w:val="009E5A37"/>
    <w:rsid w:val="009E7FAA"/>
    <w:rsid w:val="009F3F19"/>
    <w:rsid w:val="009F40CA"/>
    <w:rsid w:val="009F74F6"/>
    <w:rsid w:val="00A02989"/>
    <w:rsid w:val="00A05116"/>
    <w:rsid w:val="00A07B5D"/>
    <w:rsid w:val="00A10BA6"/>
    <w:rsid w:val="00A132AC"/>
    <w:rsid w:val="00A14BA8"/>
    <w:rsid w:val="00A14F63"/>
    <w:rsid w:val="00A20315"/>
    <w:rsid w:val="00A2284F"/>
    <w:rsid w:val="00A24FD8"/>
    <w:rsid w:val="00A304B5"/>
    <w:rsid w:val="00A30FC2"/>
    <w:rsid w:val="00A32828"/>
    <w:rsid w:val="00A33FE8"/>
    <w:rsid w:val="00A40965"/>
    <w:rsid w:val="00A510A9"/>
    <w:rsid w:val="00A63B72"/>
    <w:rsid w:val="00A643D5"/>
    <w:rsid w:val="00A64F1B"/>
    <w:rsid w:val="00A7044B"/>
    <w:rsid w:val="00A72F9B"/>
    <w:rsid w:val="00A73842"/>
    <w:rsid w:val="00A77517"/>
    <w:rsid w:val="00A80856"/>
    <w:rsid w:val="00A8571C"/>
    <w:rsid w:val="00A90C3F"/>
    <w:rsid w:val="00A92EC4"/>
    <w:rsid w:val="00AA3087"/>
    <w:rsid w:val="00AA46EC"/>
    <w:rsid w:val="00AA632F"/>
    <w:rsid w:val="00AB0B84"/>
    <w:rsid w:val="00AB1DB8"/>
    <w:rsid w:val="00AB44E7"/>
    <w:rsid w:val="00AB661C"/>
    <w:rsid w:val="00AC16EA"/>
    <w:rsid w:val="00AC4B54"/>
    <w:rsid w:val="00AC5AE4"/>
    <w:rsid w:val="00AC6DDB"/>
    <w:rsid w:val="00AD0EFA"/>
    <w:rsid w:val="00AD1E54"/>
    <w:rsid w:val="00AD4705"/>
    <w:rsid w:val="00AD52E9"/>
    <w:rsid w:val="00AE02A1"/>
    <w:rsid w:val="00AE4334"/>
    <w:rsid w:val="00AE56FC"/>
    <w:rsid w:val="00AF580A"/>
    <w:rsid w:val="00B00F29"/>
    <w:rsid w:val="00B06F2C"/>
    <w:rsid w:val="00B10155"/>
    <w:rsid w:val="00B223D0"/>
    <w:rsid w:val="00B23B4E"/>
    <w:rsid w:val="00B23D2F"/>
    <w:rsid w:val="00B24A72"/>
    <w:rsid w:val="00B27200"/>
    <w:rsid w:val="00B32CDC"/>
    <w:rsid w:val="00B33E32"/>
    <w:rsid w:val="00B34406"/>
    <w:rsid w:val="00B365CC"/>
    <w:rsid w:val="00B405E9"/>
    <w:rsid w:val="00B40822"/>
    <w:rsid w:val="00B427AF"/>
    <w:rsid w:val="00B5085C"/>
    <w:rsid w:val="00B51C6E"/>
    <w:rsid w:val="00B54DD5"/>
    <w:rsid w:val="00B554A0"/>
    <w:rsid w:val="00B60B3D"/>
    <w:rsid w:val="00B61B18"/>
    <w:rsid w:val="00B6445A"/>
    <w:rsid w:val="00B6447B"/>
    <w:rsid w:val="00B70008"/>
    <w:rsid w:val="00B70A9D"/>
    <w:rsid w:val="00B7182C"/>
    <w:rsid w:val="00B730C1"/>
    <w:rsid w:val="00B7335D"/>
    <w:rsid w:val="00B73A8E"/>
    <w:rsid w:val="00B77411"/>
    <w:rsid w:val="00B81393"/>
    <w:rsid w:val="00B8766A"/>
    <w:rsid w:val="00B91DA6"/>
    <w:rsid w:val="00B941EC"/>
    <w:rsid w:val="00B95D83"/>
    <w:rsid w:val="00B969B7"/>
    <w:rsid w:val="00BA2D59"/>
    <w:rsid w:val="00BA2DB8"/>
    <w:rsid w:val="00BA409F"/>
    <w:rsid w:val="00BB4FFF"/>
    <w:rsid w:val="00BB6B0D"/>
    <w:rsid w:val="00BC0CA8"/>
    <w:rsid w:val="00BC1B37"/>
    <w:rsid w:val="00BC343A"/>
    <w:rsid w:val="00BC5FED"/>
    <w:rsid w:val="00BE3193"/>
    <w:rsid w:val="00BE7F40"/>
    <w:rsid w:val="00BF1B68"/>
    <w:rsid w:val="00BF3797"/>
    <w:rsid w:val="00BF5720"/>
    <w:rsid w:val="00BF6979"/>
    <w:rsid w:val="00BF7444"/>
    <w:rsid w:val="00BF74AB"/>
    <w:rsid w:val="00C008DD"/>
    <w:rsid w:val="00C0114A"/>
    <w:rsid w:val="00C0176E"/>
    <w:rsid w:val="00C036BE"/>
    <w:rsid w:val="00C05E72"/>
    <w:rsid w:val="00C12253"/>
    <w:rsid w:val="00C155D7"/>
    <w:rsid w:val="00C15E93"/>
    <w:rsid w:val="00C234DB"/>
    <w:rsid w:val="00C23B66"/>
    <w:rsid w:val="00C264AB"/>
    <w:rsid w:val="00C27CF4"/>
    <w:rsid w:val="00C30C34"/>
    <w:rsid w:val="00C347FF"/>
    <w:rsid w:val="00C40F00"/>
    <w:rsid w:val="00C41FA2"/>
    <w:rsid w:val="00C43513"/>
    <w:rsid w:val="00C43E5A"/>
    <w:rsid w:val="00C456CA"/>
    <w:rsid w:val="00C508A7"/>
    <w:rsid w:val="00C50BA4"/>
    <w:rsid w:val="00C54E8A"/>
    <w:rsid w:val="00C54E9A"/>
    <w:rsid w:val="00C562FA"/>
    <w:rsid w:val="00C6101A"/>
    <w:rsid w:val="00C620A4"/>
    <w:rsid w:val="00C645B9"/>
    <w:rsid w:val="00C73D78"/>
    <w:rsid w:val="00C74568"/>
    <w:rsid w:val="00C759AF"/>
    <w:rsid w:val="00C844BD"/>
    <w:rsid w:val="00C95064"/>
    <w:rsid w:val="00C96C4C"/>
    <w:rsid w:val="00CA25AA"/>
    <w:rsid w:val="00CA58A8"/>
    <w:rsid w:val="00CA6A64"/>
    <w:rsid w:val="00CB2734"/>
    <w:rsid w:val="00CB5627"/>
    <w:rsid w:val="00CB61A4"/>
    <w:rsid w:val="00CC0B52"/>
    <w:rsid w:val="00CC0C8F"/>
    <w:rsid w:val="00CC1C35"/>
    <w:rsid w:val="00CC5DC1"/>
    <w:rsid w:val="00CD0181"/>
    <w:rsid w:val="00CE19D3"/>
    <w:rsid w:val="00CE321C"/>
    <w:rsid w:val="00CE42C2"/>
    <w:rsid w:val="00CE4CC0"/>
    <w:rsid w:val="00CF1BDB"/>
    <w:rsid w:val="00CF30AC"/>
    <w:rsid w:val="00CF659B"/>
    <w:rsid w:val="00D00EE6"/>
    <w:rsid w:val="00D06485"/>
    <w:rsid w:val="00D13D37"/>
    <w:rsid w:val="00D17CC2"/>
    <w:rsid w:val="00D25C54"/>
    <w:rsid w:val="00D3005F"/>
    <w:rsid w:val="00D3149F"/>
    <w:rsid w:val="00D34EBB"/>
    <w:rsid w:val="00D359AF"/>
    <w:rsid w:val="00D368FB"/>
    <w:rsid w:val="00D40114"/>
    <w:rsid w:val="00D41A8D"/>
    <w:rsid w:val="00D420FA"/>
    <w:rsid w:val="00D42EDB"/>
    <w:rsid w:val="00D544F3"/>
    <w:rsid w:val="00D55B31"/>
    <w:rsid w:val="00D67532"/>
    <w:rsid w:val="00D801AA"/>
    <w:rsid w:val="00D80B53"/>
    <w:rsid w:val="00D812D0"/>
    <w:rsid w:val="00D84EB9"/>
    <w:rsid w:val="00D86D87"/>
    <w:rsid w:val="00D86E49"/>
    <w:rsid w:val="00D9460A"/>
    <w:rsid w:val="00DA1332"/>
    <w:rsid w:val="00DA1621"/>
    <w:rsid w:val="00DA7CA0"/>
    <w:rsid w:val="00DB123A"/>
    <w:rsid w:val="00DB34B5"/>
    <w:rsid w:val="00DB63C6"/>
    <w:rsid w:val="00DB6BE9"/>
    <w:rsid w:val="00DC0A75"/>
    <w:rsid w:val="00DC363E"/>
    <w:rsid w:val="00DC5C60"/>
    <w:rsid w:val="00DC5E81"/>
    <w:rsid w:val="00DD2033"/>
    <w:rsid w:val="00DE0058"/>
    <w:rsid w:val="00DE0CE3"/>
    <w:rsid w:val="00DE711A"/>
    <w:rsid w:val="00DF0FC8"/>
    <w:rsid w:val="00DF62F9"/>
    <w:rsid w:val="00DF7EF0"/>
    <w:rsid w:val="00E04732"/>
    <w:rsid w:val="00E1269E"/>
    <w:rsid w:val="00E12D02"/>
    <w:rsid w:val="00E1322B"/>
    <w:rsid w:val="00E17692"/>
    <w:rsid w:val="00E20CE8"/>
    <w:rsid w:val="00E2627D"/>
    <w:rsid w:val="00E26D43"/>
    <w:rsid w:val="00E26F6D"/>
    <w:rsid w:val="00E27772"/>
    <w:rsid w:val="00E4462F"/>
    <w:rsid w:val="00E45F47"/>
    <w:rsid w:val="00E461EF"/>
    <w:rsid w:val="00E46E3B"/>
    <w:rsid w:val="00E5090F"/>
    <w:rsid w:val="00E54CC1"/>
    <w:rsid w:val="00E557E4"/>
    <w:rsid w:val="00E57FCE"/>
    <w:rsid w:val="00E60705"/>
    <w:rsid w:val="00E61EA4"/>
    <w:rsid w:val="00E62ECA"/>
    <w:rsid w:val="00E71353"/>
    <w:rsid w:val="00E71FB9"/>
    <w:rsid w:val="00E725DD"/>
    <w:rsid w:val="00E73F1B"/>
    <w:rsid w:val="00E76081"/>
    <w:rsid w:val="00E83579"/>
    <w:rsid w:val="00E8786A"/>
    <w:rsid w:val="00E902AE"/>
    <w:rsid w:val="00E935BF"/>
    <w:rsid w:val="00EA0293"/>
    <w:rsid w:val="00EA6BBD"/>
    <w:rsid w:val="00EA7EAC"/>
    <w:rsid w:val="00EB47AF"/>
    <w:rsid w:val="00EB5A58"/>
    <w:rsid w:val="00EC34D5"/>
    <w:rsid w:val="00EC3F09"/>
    <w:rsid w:val="00EC6A04"/>
    <w:rsid w:val="00ED0647"/>
    <w:rsid w:val="00ED1329"/>
    <w:rsid w:val="00EE341E"/>
    <w:rsid w:val="00EE6896"/>
    <w:rsid w:val="00EE6FBE"/>
    <w:rsid w:val="00EF74F3"/>
    <w:rsid w:val="00EF7EC7"/>
    <w:rsid w:val="00F01462"/>
    <w:rsid w:val="00F02E15"/>
    <w:rsid w:val="00F05FBC"/>
    <w:rsid w:val="00F07D89"/>
    <w:rsid w:val="00F151C8"/>
    <w:rsid w:val="00F224C4"/>
    <w:rsid w:val="00F26E6A"/>
    <w:rsid w:val="00F300BC"/>
    <w:rsid w:val="00F32C1B"/>
    <w:rsid w:val="00F372BB"/>
    <w:rsid w:val="00F41884"/>
    <w:rsid w:val="00F41CC6"/>
    <w:rsid w:val="00F444B6"/>
    <w:rsid w:val="00F45664"/>
    <w:rsid w:val="00F46D55"/>
    <w:rsid w:val="00F538CA"/>
    <w:rsid w:val="00F55BEF"/>
    <w:rsid w:val="00F55C2A"/>
    <w:rsid w:val="00F57708"/>
    <w:rsid w:val="00F57968"/>
    <w:rsid w:val="00F63E55"/>
    <w:rsid w:val="00F64E13"/>
    <w:rsid w:val="00F66467"/>
    <w:rsid w:val="00F6751F"/>
    <w:rsid w:val="00F71DCE"/>
    <w:rsid w:val="00F73749"/>
    <w:rsid w:val="00F804D1"/>
    <w:rsid w:val="00F83FFA"/>
    <w:rsid w:val="00F84132"/>
    <w:rsid w:val="00F84501"/>
    <w:rsid w:val="00F90DEF"/>
    <w:rsid w:val="00F9236B"/>
    <w:rsid w:val="00F935C9"/>
    <w:rsid w:val="00FA17DD"/>
    <w:rsid w:val="00FA2C9F"/>
    <w:rsid w:val="00FA67ED"/>
    <w:rsid w:val="00FB06E4"/>
    <w:rsid w:val="00FB591A"/>
    <w:rsid w:val="00FB596C"/>
    <w:rsid w:val="00FC1399"/>
    <w:rsid w:val="00FC79B1"/>
    <w:rsid w:val="00FD10F8"/>
    <w:rsid w:val="00FD5D8B"/>
    <w:rsid w:val="00FE3372"/>
    <w:rsid w:val="00FE5039"/>
    <w:rsid w:val="00FF0176"/>
    <w:rsid w:val="00FF4981"/>
    <w:rsid w:val="00FF7A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8DE474-203A-40A5-AF3F-3B3C3DE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AE"/>
    <w:rPr>
      <w:sz w:val="24"/>
      <w:szCs w:val="24"/>
      <w:lang w:val="es-ES" w:eastAsia="es-ES"/>
    </w:rPr>
  </w:style>
  <w:style w:type="paragraph" w:styleId="Ttulo2">
    <w:name w:val="heading 2"/>
    <w:basedOn w:val="Normal"/>
    <w:next w:val="Normal"/>
    <w:qFormat/>
    <w:rsid w:val="0047715B"/>
    <w:pPr>
      <w:keepNext/>
      <w:spacing w:before="240" w:after="60"/>
      <w:outlineLvl w:val="1"/>
    </w:pPr>
    <w:rPr>
      <w:rFonts w:ascii="Arial" w:hAnsi="Arial" w:cs="Arial"/>
      <w:b/>
      <w:bCs/>
      <w:i/>
      <w:iCs/>
      <w:sz w:val="28"/>
      <w:szCs w:val="28"/>
    </w:rPr>
  </w:style>
  <w:style w:type="paragraph" w:styleId="Ttulo3">
    <w:name w:val="heading 3"/>
    <w:basedOn w:val="Normal"/>
    <w:qFormat/>
    <w:rsid w:val="00F804D1"/>
    <w:pPr>
      <w:spacing w:before="100" w:beforeAutospacing="1" w:after="100" w:afterAutospacing="1"/>
      <w:outlineLvl w:val="2"/>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543FAE"/>
    <w:pPr>
      <w:tabs>
        <w:tab w:val="center" w:pos="4252"/>
        <w:tab w:val="right" w:pos="8504"/>
      </w:tabs>
    </w:pPr>
  </w:style>
  <w:style w:type="character" w:styleId="Hipervnculo">
    <w:name w:val="Hyperlink"/>
    <w:uiPriority w:val="99"/>
    <w:rsid w:val="00543FAE"/>
    <w:rPr>
      <w:color w:val="0000FF"/>
      <w:u w:val="single"/>
    </w:rPr>
  </w:style>
  <w:style w:type="character" w:customStyle="1" w:styleId="estilo251">
    <w:name w:val="estilo251"/>
    <w:rsid w:val="00E5090F"/>
    <w:rPr>
      <w:rFonts w:ascii="Verdana" w:hAnsi="Verdana" w:hint="default"/>
      <w:b/>
      <w:bCs/>
      <w:i w:val="0"/>
      <w:iCs w:val="0"/>
      <w:color w:val="000066"/>
      <w:sz w:val="15"/>
      <w:szCs w:val="15"/>
    </w:rPr>
  </w:style>
  <w:style w:type="character" w:customStyle="1" w:styleId="sumario11">
    <w:name w:val="sumario11"/>
    <w:rsid w:val="00E5090F"/>
    <w:rPr>
      <w:rFonts w:ascii="Verdana" w:hAnsi="Verdana" w:hint="default"/>
      <w:b w:val="0"/>
      <w:bCs w:val="0"/>
      <w:i w:val="0"/>
      <w:iCs w:val="0"/>
      <w:color w:val="000000"/>
      <w:sz w:val="20"/>
      <w:szCs w:val="20"/>
    </w:rPr>
  </w:style>
  <w:style w:type="paragraph" w:styleId="NormalWeb">
    <w:name w:val="Normal (Web)"/>
    <w:basedOn w:val="Normal"/>
    <w:uiPriority w:val="99"/>
    <w:rsid w:val="009E7FAA"/>
    <w:pPr>
      <w:spacing w:before="100" w:beforeAutospacing="1" w:after="100" w:afterAutospacing="1"/>
    </w:pPr>
  </w:style>
  <w:style w:type="paragraph" w:styleId="Piedepgina">
    <w:name w:val="footer"/>
    <w:basedOn w:val="Normal"/>
    <w:rsid w:val="00524C22"/>
    <w:pPr>
      <w:tabs>
        <w:tab w:val="center" w:pos="4252"/>
        <w:tab w:val="right" w:pos="8504"/>
      </w:tabs>
    </w:pPr>
  </w:style>
  <w:style w:type="character" w:customStyle="1" w:styleId="lg1">
    <w:name w:val="lg1"/>
    <w:rsid w:val="0024543E"/>
    <w:rPr>
      <w:color w:val="888888"/>
    </w:rPr>
  </w:style>
  <w:style w:type="character" w:customStyle="1" w:styleId="gmailquote">
    <w:name w:val="gmail_quote"/>
    <w:basedOn w:val="Fuentedeprrafopredeter"/>
    <w:rsid w:val="00AE02A1"/>
  </w:style>
  <w:style w:type="paragraph" w:styleId="Textoindependiente">
    <w:name w:val="Body Text"/>
    <w:basedOn w:val="Normal"/>
    <w:rsid w:val="005F5498"/>
    <w:pPr>
      <w:jc w:val="both"/>
    </w:pPr>
    <w:rPr>
      <w:rFonts w:ascii="Arial" w:hAnsi="Arial" w:cs="Arial"/>
      <w:lang w:val="en-GB" w:eastAsia="sv-SE"/>
    </w:rPr>
  </w:style>
  <w:style w:type="paragraph" w:customStyle="1" w:styleId="zintiloa">
    <w:name w:val="zintiloa"/>
    <w:basedOn w:val="Normal"/>
    <w:rsid w:val="0047715B"/>
    <w:pPr>
      <w:spacing w:before="100" w:beforeAutospacing="1" w:after="100" w:afterAutospacing="1"/>
    </w:pPr>
  </w:style>
  <w:style w:type="paragraph" w:customStyle="1" w:styleId="qxdbody">
    <w:name w:val="qxd_body"/>
    <w:basedOn w:val="Normal"/>
    <w:rsid w:val="0047715B"/>
    <w:pPr>
      <w:spacing w:before="100" w:beforeAutospacing="1" w:after="100" w:afterAutospacing="1"/>
    </w:pPr>
  </w:style>
  <w:style w:type="paragraph" w:styleId="Textonotaalfinal">
    <w:name w:val="endnote text"/>
    <w:basedOn w:val="Normal"/>
    <w:link w:val="TextonotaalfinalCar"/>
    <w:semiHidden/>
    <w:rsid w:val="00734EB6"/>
    <w:rPr>
      <w:sz w:val="20"/>
      <w:szCs w:val="20"/>
      <w:lang w:val="es-VE"/>
    </w:rPr>
  </w:style>
  <w:style w:type="character" w:styleId="Refdenotaalfinal">
    <w:name w:val="endnote reference"/>
    <w:uiPriority w:val="99"/>
    <w:semiHidden/>
    <w:rsid w:val="00734EB6"/>
    <w:rPr>
      <w:vertAlign w:val="superscript"/>
    </w:rPr>
  </w:style>
  <w:style w:type="character" w:styleId="Textoennegrita">
    <w:name w:val="Strong"/>
    <w:uiPriority w:val="22"/>
    <w:qFormat/>
    <w:rsid w:val="00C41FA2"/>
    <w:rPr>
      <w:b/>
      <w:bCs/>
    </w:rPr>
  </w:style>
  <w:style w:type="character" w:customStyle="1" w:styleId="corchete-llamada1">
    <w:name w:val="corchete-llamada1"/>
    <w:rsid w:val="00C41FA2"/>
    <w:rPr>
      <w:vanish/>
      <w:webHidden w:val="0"/>
      <w:specVanish w:val="0"/>
    </w:rPr>
  </w:style>
  <w:style w:type="character" w:customStyle="1" w:styleId="go">
    <w:name w:val="go"/>
    <w:basedOn w:val="Fuentedeprrafopredeter"/>
    <w:rsid w:val="00452FCD"/>
  </w:style>
  <w:style w:type="character" w:customStyle="1" w:styleId="tituloprincipal">
    <w:name w:val="tituloprincipal"/>
    <w:basedOn w:val="Fuentedeprrafopredeter"/>
    <w:rsid w:val="006104A8"/>
  </w:style>
  <w:style w:type="character" w:styleId="Refdenotaalpie">
    <w:name w:val="footnote reference"/>
    <w:basedOn w:val="Fuentedeprrafopredeter"/>
    <w:rsid w:val="006104A8"/>
  </w:style>
  <w:style w:type="paragraph" w:styleId="Textonotapie">
    <w:name w:val="footnote text"/>
    <w:basedOn w:val="Normal"/>
    <w:rsid w:val="006104A8"/>
    <w:pPr>
      <w:spacing w:before="100" w:beforeAutospacing="1" w:after="100" w:afterAutospacing="1"/>
    </w:pPr>
  </w:style>
  <w:style w:type="character" w:customStyle="1" w:styleId="apple-style-span">
    <w:name w:val="apple-style-span"/>
    <w:basedOn w:val="Fuentedeprrafopredeter"/>
    <w:rsid w:val="000E223E"/>
  </w:style>
  <w:style w:type="character" w:customStyle="1" w:styleId="st1">
    <w:name w:val="st1"/>
    <w:basedOn w:val="Fuentedeprrafopredeter"/>
    <w:rsid w:val="00A10BA6"/>
  </w:style>
  <w:style w:type="paragraph" w:styleId="Sangradetextonormal">
    <w:name w:val="Body Text Indent"/>
    <w:basedOn w:val="Normal"/>
    <w:rsid w:val="0019594F"/>
    <w:pPr>
      <w:spacing w:after="120"/>
      <w:ind w:left="283"/>
    </w:pPr>
  </w:style>
  <w:style w:type="paragraph" w:styleId="Ttulo">
    <w:name w:val="Título"/>
    <w:basedOn w:val="Normal"/>
    <w:qFormat/>
    <w:rsid w:val="0019594F"/>
    <w:pPr>
      <w:jc w:val="center"/>
    </w:pPr>
    <w:rPr>
      <w:rFonts w:ascii="Lucida Grande" w:eastAsia="Times" w:hAnsi="Lucida Grande"/>
      <w:b/>
      <w:szCs w:val="20"/>
      <w:lang w:val="es-ES_tradnl"/>
    </w:rPr>
  </w:style>
  <w:style w:type="character" w:customStyle="1" w:styleId="shorttext">
    <w:name w:val="short_text"/>
    <w:basedOn w:val="Fuentedeprrafopredeter"/>
    <w:rsid w:val="002E33B8"/>
  </w:style>
  <w:style w:type="character" w:customStyle="1" w:styleId="hps">
    <w:name w:val="hps"/>
    <w:basedOn w:val="Fuentedeprrafopredeter"/>
    <w:rsid w:val="002E33B8"/>
  </w:style>
  <w:style w:type="paragraph" w:styleId="Prrafodelista">
    <w:name w:val="List Paragraph"/>
    <w:basedOn w:val="Normal"/>
    <w:uiPriority w:val="34"/>
    <w:qFormat/>
    <w:rsid w:val="00E12D02"/>
    <w:pPr>
      <w:shd w:val="clear" w:color="auto" w:fill="FFFFFF"/>
      <w:ind w:left="708"/>
      <w:jc w:val="both"/>
    </w:pPr>
    <w:rPr>
      <w:rFonts w:ascii="Arial" w:hAnsi="Arial" w:cs="Arial"/>
      <w:color w:val="222222"/>
      <w:lang w:val="es-AR" w:eastAsia="es-AR"/>
    </w:rPr>
  </w:style>
  <w:style w:type="character" w:customStyle="1" w:styleId="TextonotaalfinalCar">
    <w:name w:val="Texto nota al final Car"/>
    <w:link w:val="Textonotaalfinal"/>
    <w:semiHidden/>
    <w:rsid w:val="006B621D"/>
    <w:rPr>
      <w:lang w:val="es-VE"/>
    </w:rPr>
  </w:style>
  <w:style w:type="character" w:customStyle="1" w:styleId="apple-converted-space">
    <w:name w:val="apple-converted-space"/>
    <w:basedOn w:val="Fuentedeprrafopredeter"/>
    <w:rsid w:val="006E6B25"/>
  </w:style>
  <w:style w:type="character" w:customStyle="1" w:styleId="EncabezadoCar">
    <w:name w:val="Encabezado Car"/>
    <w:link w:val="Encabezado"/>
    <w:uiPriority w:val="99"/>
    <w:rsid w:val="001702B9"/>
    <w:rPr>
      <w:sz w:val="24"/>
      <w:szCs w:val="24"/>
      <w:lang w:val="es-ES" w:eastAsia="es-ES"/>
    </w:rPr>
  </w:style>
  <w:style w:type="paragraph" w:styleId="Textodeglobo">
    <w:name w:val="Balloon Text"/>
    <w:basedOn w:val="Normal"/>
    <w:link w:val="TextodegloboCar"/>
    <w:rsid w:val="001702B9"/>
    <w:rPr>
      <w:rFonts w:ascii="Tahoma" w:hAnsi="Tahoma" w:cs="Tahoma"/>
      <w:sz w:val="16"/>
      <w:szCs w:val="16"/>
    </w:rPr>
  </w:style>
  <w:style w:type="character" w:customStyle="1" w:styleId="TextodegloboCar">
    <w:name w:val="Texto de globo Car"/>
    <w:link w:val="Textodeglobo"/>
    <w:rsid w:val="001702B9"/>
    <w:rPr>
      <w:rFonts w:ascii="Tahoma" w:hAnsi="Tahoma" w:cs="Tahoma"/>
      <w:sz w:val="16"/>
      <w:szCs w:val="16"/>
      <w:lang w:val="es-ES" w:eastAsia="es-ES"/>
    </w:rPr>
  </w:style>
  <w:style w:type="character" w:styleId="nfasis">
    <w:name w:val="Emphasis"/>
    <w:qFormat/>
    <w:rsid w:val="00366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rometrointernacional.com.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cional.barometro@gmail.com" TargetMode="External"/><Relationship Id="rId5" Type="http://schemas.openxmlformats.org/officeDocument/2006/relationships/footnotes" Target="footnotes.xml"/><Relationship Id="rId10" Type="http://schemas.openxmlformats.org/officeDocument/2006/relationships/hyperlink" Target="mailto:jorgeforero89@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Análisis Político y Social Nacional e Internacional</vt:lpstr>
    </vt:vector>
  </TitlesOfParts>
  <Company>MTSS</Company>
  <LinksUpToDate>false</LinksUpToDate>
  <CharactersWithSpaces>5017</CharactersWithSpaces>
  <SharedDoc>false</SharedDoc>
  <HLinks>
    <vt:vector size="18" baseType="variant">
      <vt:variant>
        <vt:i4>327792</vt:i4>
      </vt:variant>
      <vt:variant>
        <vt:i4>6</vt:i4>
      </vt:variant>
      <vt:variant>
        <vt:i4>0</vt:i4>
      </vt:variant>
      <vt:variant>
        <vt:i4>5</vt:i4>
      </vt:variant>
      <vt:variant>
        <vt:lpwstr>mailto:internacional.barometro@gmail.com</vt:lpwstr>
      </vt:variant>
      <vt:variant>
        <vt:lpwstr/>
      </vt:variant>
      <vt:variant>
        <vt:i4>2555929</vt:i4>
      </vt:variant>
      <vt:variant>
        <vt:i4>3</vt:i4>
      </vt:variant>
      <vt:variant>
        <vt:i4>0</vt:i4>
      </vt:variant>
      <vt:variant>
        <vt:i4>5</vt:i4>
      </vt:variant>
      <vt:variant>
        <vt:lpwstr>mailto:jorgeforero89@gmail.com</vt:lpwstr>
      </vt:variant>
      <vt:variant>
        <vt:lpwstr/>
      </vt:variant>
      <vt:variant>
        <vt:i4>5177428</vt:i4>
      </vt:variant>
      <vt:variant>
        <vt:i4>0</vt:i4>
      </vt:variant>
      <vt:variant>
        <vt:i4>0</vt:i4>
      </vt:variant>
      <vt:variant>
        <vt:i4>5</vt:i4>
      </vt:variant>
      <vt:variant>
        <vt:lpwstr>http://www.barometrointernacional.com.ve/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Político y Social Nacional e Internacional</dc:title>
  <dc:subject/>
  <dc:creator>diego.olivera</dc:creator>
  <cp:keywords/>
  <cp:lastModifiedBy>Centro</cp:lastModifiedBy>
  <cp:revision>2</cp:revision>
  <dcterms:created xsi:type="dcterms:W3CDTF">2016-12-01T19:30:00Z</dcterms:created>
  <dcterms:modified xsi:type="dcterms:W3CDTF">2016-12-01T19:30:00Z</dcterms:modified>
</cp:coreProperties>
</file>