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bookmarkStart w:id="0" w:name="_GoBack"/>
      <w:bookmarkEnd w:id="0"/>
    </w:p>
    <w:p w:rsidR="00447749" w:rsidRDefault="00447749">
      <w:pPr>
        <w:pStyle w:val="Standard"/>
      </w:pPr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47749" w:rsidRDefault="00447749">
      <w:pPr>
        <w:pStyle w:val="Standard"/>
      </w:pPr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47749" w:rsidRDefault="00447749">
      <w:pPr>
        <w:pStyle w:val="Textbody"/>
      </w:pPr>
      <w:bookmarkStart w:id="1" w:name="gkLogo"/>
      <w:bookmarkEnd w:id="1"/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47749" w:rsidRDefault="00C66EF6">
      <w:pPr>
        <w:pStyle w:val="Textbody"/>
      </w:pPr>
      <w:r>
        <w:rPr>
          <w:noProof/>
          <w:lang w:eastAsia="es-AR" w:bidi="ar-SA"/>
        </w:rPr>
        <w:lastRenderedPageBreak/>
        <w:drawing>
          <wp:inline distT="0" distB="0" distL="0" distR="0">
            <wp:extent cx="2629080" cy="961919"/>
            <wp:effectExtent l="0" t="0" r="0" b="0"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9619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47749" w:rsidRDefault="00447749">
      <w:pPr>
        <w:pStyle w:val="Standard"/>
      </w:pPr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bookmarkStart w:id="2" w:name="menu504"/>
      <w:bookmarkEnd w:id="2"/>
    </w:p>
    <w:p w:rsidR="00447749" w:rsidRDefault="00447749">
      <w:pPr>
        <w:pStyle w:val="Standard"/>
      </w:pPr>
      <w:bookmarkStart w:id="3" w:name="startOfPageId7058"/>
      <w:bookmarkEnd w:id="3"/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47749" w:rsidRDefault="00C66EF6">
      <w:pPr>
        <w:pStyle w:val="Ttulo2"/>
      </w:pPr>
      <w:r>
        <w:lastRenderedPageBreak/>
        <w:t>La Ley de Semillas y el Código Ingenios a debate en un contexto de Acuerdo Comercial con la Unión Europea.</w:t>
      </w:r>
    </w:p>
    <w:p w:rsidR="00447749" w:rsidRDefault="00C66EF6">
      <w:pPr>
        <w:pStyle w:val="Textbody"/>
      </w:pPr>
      <w:hyperlink r:id="rId8" w:history="1"/>
    </w:p>
    <w:p w:rsidR="00447749" w:rsidRDefault="00C66EF6">
      <w:pPr>
        <w:pStyle w:val="Textbody"/>
        <w:jc w:val="both"/>
      </w:pPr>
      <w:r>
        <w:rPr>
          <w:rStyle w:val="StrongEmphasis"/>
        </w:rPr>
        <w:t>OCA</w:t>
      </w:r>
      <w:r>
        <w:rPr>
          <w:rStyle w:val="StrongEmphasis"/>
        </w:rPr>
        <w:t>RU / Fotografías: Al Grano</w:t>
      </w:r>
    </w:p>
    <w:p w:rsidR="00447749" w:rsidRDefault="00C66EF6">
      <w:pPr>
        <w:pStyle w:val="Textbody"/>
        <w:jc w:val="both"/>
      </w:pPr>
      <w:r>
        <w:t>El miércoles 28 de septiembre, tuvo lugar el Foro sobre Ley de Semillas y Código Ingenios: ¿eslabones para el Acuerdo Comercial con la Unión Europea? en Flacso Ecuador. Acción Ecológica, el Observatorio del Cambio Rural, FLACSO E</w:t>
      </w:r>
      <w:r>
        <w:t>cuador, la Coordinadora Nacional Campesina Eloy Alfaro y la Campaña Al Grano, fueron los encargados de convocar a tal concurrido espacio de debate. </w:t>
      </w:r>
    </w:p>
    <w:p w:rsidR="00447749" w:rsidRDefault="00C66EF6">
      <w:pPr>
        <w:pStyle w:val="Textbody"/>
        <w:jc w:val="both"/>
      </w:pPr>
      <w:r>
        <w:t xml:space="preserve"> Desde un debate integral, se abordaron los nudos críticos de la Ley de Semillas y sus nexos con el Código </w:t>
      </w:r>
      <w:r>
        <w:t>Ingenios a las puertas de la firma del Acuerdo Comercial con la Unión Europea.</w:t>
      </w:r>
    </w:p>
    <w:p w:rsidR="00447749" w:rsidRDefault="00C66EF6">
      <w:pPr>
        <w:pStyle w:val="Textbody"/>
        <w:jc w:val="both"/>
      </w:pPr>
      <w:r>
        <w:t>Myriam Paredes, docente en FLACSO Ecuador, moderó el evento y realizó un recorrido sobre el contexto y el enfoque central de la Ley de Semillas en Ecuador.</w:t>
      </w:r>
    </w:p>
    <w:p w:rsidR="00447749" w:rsidRDefault="00C66EF6">
      <w:pPr>
        <w:pStyle w:val="Textbody"/>
      </w:pPr>
      <w:r>
        <w:rPr>
          <w:noProof/>
          <w:lang w:eastAsia="es-AR" w:bidi="ar-SA"/>
        </w:rPr>
        <w:drawing>
          <wp:inline distT="0" distB="0" distL="0" distR="0">
            <wp:extent cx="4200480" cy="2800440"/>
            <wp:effectExtent l="0" t="0" r="0" b="0"/>
            <wp:docPr id="8" name="Imagen8" title="Foto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480" cy="2800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7749" w:rsidRDefault="00C66EF6">
      <w:pPr>
        <w:pStyle w:val="Textbody"/>
        <w:jc w:val="center"/>
      </w:pPr>
      <w:r>
        <w:rPr>
          <w:rStyle w:val="StrongEmphasis"/>
          <w:u w:val="single"/>
        </w:rPr>
        <w:t xml:space="preserve">La Ley de Semillas </w:t>
      </w:r>
      <w:r>
        <w:rPr>
          <w:rStyle w:val="StrongEmphasis"/>
          <w:u w:val="single"/>
        </w:rPr>
        <w:t>en un contexto de Acuerdo Comercial con la Unión Europea</w:t>
      </w:r>
    </w:p>
    <w:p w:rsidR="00447749" w:rsidRDefault="00C66EF6">
      <w:pPr>
        <w:pStyle w:val="Textbody"/>
        <w:jc w:val="both"/>
      </w:pPr>
      <w:r>
        <w:t xml:space="preserve">El análisis de Cecilia Chérrez, investigadora de Acción Ecológica, giró en torno al Acuerdo </w:t>
      </w:r>
      <w:r>
        <w:lastRenderedPageBreak/>
        <w:t>Comercial entre Ecuador y la Unión Europea en su inminente firma en los próximos meses. Chérrez sostuvo que</w:t>
      </w:r>
      <w:r>
        <w:t xml:space="preserve"> la Unión Europea es una potencia semillera a nivel global con la presencia de empresas europeas muy poderosas en el control del mercado mundial de semillas.</w:t>
      </w:r>
    </w:p>
    <w:p w:rsidR="00447749" w:rsidRDefault="00C66EF6">
      <w:pPr>
        <w:pStyle w:val="Textbody"/>
        <w:jc w:val="both"/>
      </w:pPr>
      <w:r>
        <w:t>Como idea principal, la expositora planteó que, en el Acuerdo Comercial con la Unión Europea, se m</w:t>
      </w:r>
      <w:r>
        <w:t>anifiesta que Ecuador abra el mercado a las semillas europeas sin restricciones pidiendo unos cambios en relación al registro y certificación de semillas tal y como se plantea en la Ley de Semillas. También hizo alusión a la exigencia del cumplimiento de a</w:t>
      </w:r>
      <w:r>
        <w:t>spectos sanitarios en la Ley de Semillas y otros aspectos relacionados con la propiedad intelectual tal como se plantea en el Código Ingenios.</w:t>
      </w:r>
    </w:p>
    <w:p w:rsidR="00447749" w:rsidRDefault="00C66EF6">
      <w:pPr>
        <w:pStyle w:val="Textbody"/>
        <w:jc w:val="both"/>
      </w:pPr>
      <w:r>
        <w:t>Su principal preocupación alrededor de la Ley de Semillas, reflejó que se crearán condiciones para dejar por fuer</w:t>
      </w:r>
      <w:r>
        <w:t>a a las semillas campesinas dejando el espacio abierto para que las semillas certificadas sean utilizadas.</w:t>
      </w:r>
    </w:p>
    <w:p w:rsidR="00447749" w:rsidRDefault="00C66EF6">
      <w:pPr>
        <w:pStyle w:val="Textbody"/>
      </w:pPr>
      <w:r>
        <w:rPr>
          <w:noProof/>
          <w:lang w:eastAsia="es-AR" w:bidi="ar-SA"/>
        </w:rPr>
        <w:drawing>
          <wp:inline distT="0" distB="0" distL="0" distR="0">
            <wp:extent cx="4114800" cy="2743199"/>
            <wp:effectExtent l="0" t="0" r="0" b="1"/>
            <wp:docPr id="9" name="Imagen9" title="Foto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31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7749" w:rsidRDefault="00C66EF6">
      <w:pPr>
        <w:pStyle w:val="Textbody"/>
        <w:jc w:val="center"/>
      </w:pPr>
      <w:r>
        <w:rPr>
          <w:rStyle w:val="StrongEmphasis"/>
          <w:u w:val="single"/>
        </w:rPr>
        <w:t>La Ley de Semillas y las mujeres como custodias de las semillas nativas</w:t>
      </w:r>
    </w:p>
    <w:p w:rsidR="00447749" w:rsidRDefault="00C66EF6">
      <w:pPr>
        <w:pStyle w:val="Textbody"/>
        <w:jc w:val="both"/>
      </w:pPr>
      <w:r>
        <w:t>Desde la mirada de la mujer cuidadora de las semillas, Blanca Chancoso inic</w:t>
      </w:r>
      <w:r>
        <w:t>ió su discurso. Para Blanca Chancoso, cuando se habla de la Ley de Semillas se hace alusión a la estatización de las semillas nativas con la imposición del uso de la semilla certificada. Se refirió a los marcos normativos que garantizan la Soberanía Alimen</w:t>
      </w:r>
      <w:r>
        <w:t>taria y al cuidado y custodia de las semillas por parte de las mujeres que, a lo largo de la historia, han sabido conservar la agrobiodiversidad.</w:t>
      </w:r>
    </w:p>
    <w:p w:rsidR="00447749" w:rsidRDefault="00C66EF6">
      <w:pPr>
        <w:pStyle w:val="Textbody"/>
        <w:jc w:val="both"/>
      </w:pPr>
      <w:r>
        <w:t>La dirigenta indígena se mantuvo en desacuerdo ante la aprobación de un Acuerdo de Libre Comercio con la Unión</w:t>
      </w:r>
      <w:r>
        <w:t xml:space="preserve"> Europea. De la misma forma, indicó que las mujeres de la Ecuarunari se han declarado en vigilia, todos los miércoles, frente a la Asamblea Nacional, en oposición a la Ley de Semillas. Con sus palabras, invitó a la creación de ''chaskis urbanos'' en la ciu</w:t>
      </w:r>
      <w:r>
        <w:t>dad en defensa de la Soberanía Alimentaria, de la vida de los pueblos en contra de la Ley de Semillas.</w:t>
      </w:r>
    </w:p>
    <w:p w:rsidR="00447749" w:rsidRDefault="00C66EF6">
      <w:pPr>
        <w:pStyle w:val="Textbody"/>
        <w:jc w:val="both"/>
      </w:pPr>
      <w:r>
        <w:rPr>
          <w:rStyle w:val="nfasis"/>
        </w:rPr>
        <w:t>"Con esta ley nos impedirán comer mote, tostado''</w:t>
      </w:r>
      <w:r>
        <w:t>. De esta forma, Chancoso expresó la amenaza que sufren, principalmente, las mujeres.</w:t>
      </w:r>
    </w:p>
    <w:p w:rsidR="00447749" w:rsidRDefault="00C66EF6">
      <w:pPr>
        <w:pStyle w:val="Textbody"/>
        <w:jc w:val="both"/>
      </w:pPr>
      <w:r>
        <w:t>Como principal pro</w:t>
      </w:r>
      <w:r>
        <w:t>blemática planteada, se mostró un especial interés por la situación de las mujeres campesinas y la producción lechera en Ecuador.</w:t>
      </w:r>
    </w:p>
    <w:p w:rsidR="00447749" w:rsidRDefault="00C66EF6">
      <w:pPr>
        <w:pStyle w:val="Textbody"/>
      </w:pPr>
      <w:r>
        <w:rPr>
          <w:noProof/>
          <w:lang w:eastAsia="es-AR" w:bidi="ar-SA"/>
        </w:rPr>
        <w:lastRenderedPageBreak/>
        <w:drawing>
          <wp:inline distT="0" distB="0" distL="0" distR="0">
            <wp:extent cx="4276800" cy="2847960"/>
            <wp:effectExtent l="0" t="0" r="9450" b="0"/>
            <wp:docPr id="10" name="Imagen10" title="Foto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800" cy="2847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7749" w:rsidRDefault="00C66EF6">
      <w:pPr>
        <w:pStyle w:val="Textbody"/>
        <w:jc w:val="center"/>
      </w:pPr>
      <w:r>
        <w:rPr>
          <w:rStyle w:val="StrongEmphasis"/>
          <w:u w:val="single"/>
        </w:rPr>
        <w:t>El caso de la producción de quesillo en Saraguro</w:t>
      </w:r>
    </w:p>
    <w:p w:rsidR="00447749" w:rsidRDefault="00C66EF6">
      <w:pPr>
        <w:pStyle w:val="Textbody"/>
        <w:jc w:val="both"/>
      </w:pPr>
      <w:r>
        <w:t xml:space="preserve">Carmen Lozano, Dirigenta de la Mujer de la Ecuarunari, alertó al auditorio </w:t>
      </w:r>
      <w:r>
        <w:t>con su testimonio desde Saraguro.</w:t>
      </w:r>
    </w:p>
    <w:p w:rsidR="00447749" w:rsidRDefault="00C66EF6">
      <w:pPr>
        <w:pStyle w:val="Textbody"/>
        <w:jc w:val="both"/>
      </w:pPr>
      <w:r>
        <w:rPr>
          <w:rStyle w:val="nfasis"/>
        </w:rPr>
        <w:t>''Desde el Pueblo Saraguro, en la provincia de Loja, los campesinos y pueblos indígenas vivimos de la ganadería, de la leche y del quesillo. Es lamentable que Agrocalidad nos venga a poner órdenes y normas sin ver la reali</w:t>
      </w:r>
      <w:r>
        <w:rPr>
          <w:rStyle w:val="nfasis"/>
        </w:rPr>
        <w:t>dad de los campesinos y pueblos indígenas. No es que en la ciudad hay leche, la leche está en los páramos. Las normas están por fuera de nuestras realidades, nos han empezado a perseguir y a quitarnos los quesillos; siempre se ha vivido del quesillo artesa</w:t>
      </w:r>
      <w:r>
        <w:rPr>
          <w:rStyle w:val="nfasis"/>
        </w:rPr>
        <w:t>nal, no tenemos grandes maquinarias para elaborar quesos. No estamos en contra de las normas para la higiene; si no tenemos nuestras vacas y nuestros ganados, ¿de dónde vamos a sobrevivir? Ahora que no hay fuente de trabajo, ahora que tenemos que sacar fac</w:t>
      </w:r>
      <w:r>
        <w:rPr>
          <w:rStyle w:val="nfasis"/>
        </w:rPr>
        <w:t>turas y registro sanitario''.</w:t>
      </w:r>
    </w:p>
    <w:p w:rsidR="00447749" w:rsidRDefault="00C66EF6">
      <w:pPr>
        <w:pStyle w:val="Textbody"/>
      </w:pPr>
      <w:r>
        <w:rPr>
          <w:i/>
          <w:iCs/>
          <w:noProof/>
          <w:lang w:eastAsia="es-AR" w:bidi="ar-SA"/>
        </w:rPr>
        <w:drawing>
          <wp:inline distT="0" distB="0" distL="0" distR="0">
            <wp:extent cx="4419720" cy="2733840"/>
            <wp:effectExtent l="0" t="0" r="0" b="9360"/>
            <wp:docPr id="11" name="Imagen11" title="Foto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720" cy="2733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7749" w:rsidRDefault="00C66EF6">
      <w:pPr>
        <w:pStyle w:val="Textbody"/>
        <w:jc w:val="center"/>
      </w:pPr>
      <w:r>
        <w:rPr>
          <w:rStyle w:val="StrongEmphasis"/>
          <w:u w:val="single"/>
        </w:rPr>
        <w:t>La Ley de Semillas y el Código Ingenios</w:t>
      </w:r>
    </w:p>
    <w:p w:rsidR="00447749" w:rsidRDefault="00C66EF6">
      <w:pPr>
        <w:pStyle w:val="Textbody"/>
        <w:jc w:val="both"/>
      </w:pPr>
      <w:r>
        <w:t>Fabián Calispa, integrante de la Coordinadora Nacional Campesina Eloy Alfaro, manifestó que el actual gobierno maneja una política agraria muy concreta en relación al mejoramiento de l</w:t>
      </w:r>
      <w:r>
        <w:t xml:space="preserve">a </w:t>
      </w:r>
      <w:r>
        <w:lastRenderedPageBreak/>
        <w:t>productividad en relación a los cultivos. Los campesinos que reciben créditos para los kits están endeudados porque su producción no resultó tan buena como esperaban.</w:t>
      </w:r>
    </w:p>
    <w:p w:rsidR="00447749" w:rsidRDefault="00C66EF6">
      <w:pPr>
        <w:pStyle w:val="Textbody"/>
        <w:jc w:val="both"/>
      </w:pPr>
      <w:r>
        <w:t>En relación a la agricultura campesina, expresó que todavía depende de condiciones natu</w:t>
      </w:r>
      <w:r>
        <w:t>rales y se agudiza la falta de acceso al riego, falta de infraestructura productiva e infraestructura para mejorar las condiciones del producto y el acceso a los mercados.</w:t>
      </w:r>
    </w:p>
    <w:p w:rsidR="00447749" w:rsidRDefault="00C66EF6">
      <w:pPr>
        <w:pStyle w:val="Textbody"/>
        <w:jc w:val="both"/>
      </w:pPr>
      <w:r>
        <w:t>En una articulación entre el Código Ingenios, Ley de Semillas y la Ley de Sanidad Ag</w:t>
      </w:r>
      <w:r>
        <w:t>ropecuaria, hizo referencia a que todos los mecanismos sanitarios y fitosanitarios que la Unión Europea impondrá en el Acuerdo Comercial serán homologados por la Ley de Sanidad Agropecuaria.</w:t>
      </w:r>
    </w:p>
    <w:p w:rsidR="00447749" w:rsidRDefault="00C66EF6">
      <w:pPr>
        <w:pStyle w:val="Textbody"/>
        <w:jc w:val="both"/>
      </w:pPr>
      <w:r>
        <w:rPr>
          <w:rStyle w:val="nfasis"/>
        </w:rPr>
        <w:t>''Nos preocupa la economía social del conocimiento''</w:t>
      </w:r>
      <w:r>
        <w:t>, con estas p</w:t>
      </w:r>
      <w:r>
        <w:t xml:space="preserve">alabras recalcó a que no sólo hay un conocimiento. </w:t>
      </w:r>
      <w:r>
        <w:rPr>
          <w:rStyle w:val="nfasis"/>
        </w:rPr>
        <w:t>''Con esta ley se acentuará más el epistemicidio con un conocimiento dominante que arrasa con los conocimientos ancestrales''</w:t>
      </w:r>
      <w:r>
        <w:t>, indicó Calispa.</w:t>
      </w:r>
    </w:p>
    <w:p w:rsidR="00447749" w:rsidRDefault="00C66EF6">
      <w:pPr>
        <w:pStyle w:val="Textbody"/>
        <w:jc w:val="both"/>
      </w:pPr>
      <w:r>
        <w:t>Refiriéndose al articulado del Código Ingenios, destacó que al</w:t>
      </w:r>
      <w:r>
        <w:t>gunos artículos vulneran la Soberanía Alimentaria, así como el derecho a la alimentación y la vulneración de los derechos consagrados en la Ley Orgánica del Régimen de Soberanía Alimentaria y en la Constitución.</w:t>
      </w:r>
    </w:p>
    <w:p w:rsidR="00447749" w:rsidRDefault="00C66EF6">
      <w:pPr>
        <w:pStyle w:val="Textbody"/>
        <w:jc w:val="both"/>
      </w:pPr>
      <w:r>
        <w:t>Para Calispa, los objetivos estratégicos del</w:t>
      </w:r>
      <w:r>
        <w:t xml:space="preserve"> Código Ingenios, deberían girar en torno a la defensa de la Soberanía Alimentaria en la preservación de la agrobiodiversidad y los conocimientos ancestrales.</w:t>
      </w:r>
    </w:p>
    <w:p w:rsidR="00447749" w:rsidRDefault="00C66EF6">
      <w:pPr>
        <w:pStyle w:val="Textbody"/>
        <w:jc w:val="both"/>
      </w:pPr>
      <w:r>
        <w:rPr>
          <w:rStyle w:val="nfasis"/>
        </w:rPr>
        <w:t>''No existe una semilla sin un conocimiento asociado, que se encuentra en las mujeres indígenas''</w:t>
      </w:r>
      <w:r>
        <w:rPr>
          <w:rStyle w:val="nfasis"/>
        </w:rPr>
        <w:t>.</w:t>
      </w:r>
    </w:p>
    <w:p w:rsidR="00447749" w:rsidRDefault="00C66EF6">
      <w:pPr>
        <w:pStyle w:val="Textbody"/>
        <w:jc w:val="both"/>
      </w:pPr>
      <w:r>
        <w:t> </w:t>
      </w:r>
    </w:p>
    <w:p w:rsidR="00447749" w:rsidRDefault="00C66EF6">
      <w:pPr>
        <w:pStyle w:val="Textbody"/>
        <w:jc w:val="both"/>
      </w:pPr>
      <w:r>
        <w:t>En el foro de preguntas posterior a las exposiciones, se resaltó la importancia de establecer vínculos entre el campo y la ciudad. Las compañeras del Azuay hicieron un llamado de unidad por la defensa y práctica de la agroecología.</w:t>
      </w:r>
    </w:p>
    <w:p w:rsidR="00447749" w:rsidRDefault="00C66EF6">
      <w:pPr>
        <w:pStyle w:val="Textbody"/>
        <w:jc w:val="both"/>
      </w:pPr>
      <w:r>
        <w:t xml:space="preserve">                    </w:t>
      </w:r>
      <w:r>
        <w:t xml:space="preserve">                                            </w:t>
      </w:r>
      <w:r>
        <w:rPr>
          <w:rStyle w:val="StrongEmphasis"/>
        </w:rPr>
        <w:t>''Ninguna semilla es impura porque ningún ser viviente es impuro''</w:t>
      </w:r>
    </w:p>
    <w:p w:rsidR="00447749" w:rsidRDefault="00C66EF6">
      <w:pPr>
        <w:pStyle w:val="Textbody"/>
        <w:jc w:val="both"/>
      </w:pPr>
      <w:r>
        <w:rPr>
          <w:rStyle w:val="StrongEmphasis"/>
          <w:color w:val="808000"/>
        </w:rPr>
        <w:t>OCARU, 4 de octubre de 2016</w:t>
      </w:r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47749" w:rsidRDefault="00447749">
      <w:pPr>
        <w:pStyle w:val="Textbody"/>
        <w:spacing w:after="0"/>
      </w:pPr>
    </w:p>
    <w:p w:rsidR="00000000" w:rsidRDefault="00C66EF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47749" w:rsidRDefault="00447749">
      <w:pPr>
        <w:pStyle w:val="Standard"/>
      </w:pPr>
    </w:p>
    <w:sectPr w:rsidR="00447749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F6" w:rsidRDefault="00C66EF6">
      <w:r>
        <w:separator/>
      </w:r>
    </w:p>
  </w:endnote>
  <w:endnote w:type="continuationSeparator" w:id="0">
    <w:p w:rsidR="00C66EF6" w:rsidRDefault="00C6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F6" w:rsidRDefault="00C66EF6">
      <w:r>
        <w:rPr>
          <w:color w:val="000000"/>
        </w:rPr>
        <w:separator/>
      </w:r>
    </w:p>
  </w:footnote>
  <w:footnote w:type="continuationSeparator" w:id="0">
    <w:p w:rsidR="00C66EF6" w:rsidRDefault="00C6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766C4"/>
    <w:multiLevelType w:val="multilevel"/>
    <w:tmpl w:val="9398DC2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46C0074B"/>
    <w:multiLevelType w:val="multilevel"/>
    <w:tmpl w:val="DE8E8B9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7F3E4DB4"/>
    <w:multiLevelType w:val="multilevel"/>
    <w:tmpl w:val="5D78382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47749"/>
    <w:rsid w:val="00447749"/>
    <w:rsid w:val="00547F65"/>
    <w:rsid w:val="00C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383E98B-7A6A-466A-986D-42C742C1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nfasis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aru.org.ec/media/k2/items/cache/62047f4a0119b5e573e9f9890f25caae_X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Solano</dc:creator>
  <cp:lastModifiedBy>Centro</cp:lastModifiedBy>
  <cp:revision>2</cp:revision>
  <dcterms:created xsi:type="dcterms:W3CDTF">2016-10-07T02:10:00Z</dcterms:created>
  <dcterms:modified xsi:type="dcterms:W3CDTF">2016-10-07T02:10:00Z</dcterms:modified>
</cp:coreProperties>
</file>