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0B55C" w14:textId="1BC53E2B" w:rsidR="000711AC" w:rsidRPr="000711AC" w:rsidRDefault="000711AC" w:rsidP="00C80ECA">
      <w:pPr>
        <w:spacing w:before="240" w:after="240" w:line="360" w:lineRule="auto"/>
        <w:jc w:val="both"/>
        <w:rPr>
          <w:rFonts w:ascii="Bookman Old Style" w:hAnsi="Bookman Old Style"/>
          <w:b/>
          <w:bCs/>
          <w:sz w:val="36"/>
          <w:szCs w:val="36"/>
        </w:rPr>
      </w:pPr>
      <w:r w:rsidRPr="000711AC">
        <w:rPr>
          <w:noProof/>
        </w:rPr>
        <w:drawing>
          <wp:anchor distT="0" distB="0" distL="114300" distR="114300" simplePos="0" relativeHeight="251662336" behindDoc="1" locked="0" layoutInCell="1" allowOverlap="1" wp14:anchorId="0E1755C5" wp14:editId="4869F1C2">
            <wp:simplePos x="0" y="0"/>
            <wp:positionH relativeFrom="column">
              <wp:posOffset>84499</wp:posOffset>
            </wp:positionH>
            <wp:positionV relativeFrom="paragraph">
              <wp:posOffset>2944864</wp:posOffset>
            </wp:positionV>
            <wp:extent cx="2725420" cy="1525905"/>
            <wp:effectExtent l="0" t="0" r="0" b="0"/>
            <wp:wrapTight wrapText="bothSides">
              <wp:wrapPolygon edited="0">
                <wp:start x="0" y="0"/>
                <wp:lineTo x="0" y="21303"/>
                <wp:lineTo x="21439" y="21303"/>
                <wp:lineTo x="21439"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25420" cy="1525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11AC">
        <w:rPr>
          <w:noProof/>
        </w:rPr>
        <w:drawing>
          <wp:anchor distT="0" distB="0" distL="114300" distR="114300" simplePos="0" relativeHeight="251675136" behindDoc="1" locked="0" layoutInCell="1" allowOverlap="1" wp14:anchorId="45B49D93" wp14:editId="25861F75">
            <wp:simplePos x="0" y="0"/>
            <wp:positionH relativeFrom="column">
              <wp:posOffset>-42545</wp:posOffset>
            </wp:positionH>
            <wp:positionV relativeFrom="paragraph">
              <wp:posOffset>1445673</wp:posOffset>
            </wp:positionV>
            <wp:extent cx="6858000" cy="1307465"/>
            <wp:effectExtent l="0" t="0" r="0" b="6985"/>
            <wp:wrapTight wrapText="bothSides">
              <wp:wrapPolygon edited="0">
                <wp:start x="0" y="0"/>
                <wp:lineTo x="0" y="21401"/>
                <wp:lineTo x="21540" y="21401"/>
                <wp:lineTo x="21540" y="0"/>
                <wp:lineTo x="0" y="0"/>
              </wp:wrapPolygon>
            </wp:wrapTight>
            <wp:docPr id="7" name="Imagen 7"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Texto&#10;&#10;Descripción generada automáticamente con confianza media"/>
                    <pic:cNvPicPr/>
                  </pic:nvPicPr>
                  <pic:blipFill>
                    <a:blip r:embed="rId6" cstate="print">
                      <a:extLst>
                        <a:ext uri="{28A0092B-C50C-407E-A947-70E740481C1C}">
                          <a14:useLocalDpi xmlns:a14="http://schemas.microsoft.com/office/drawing/2010/main" val="0"/>
                        </a:ext>
                      </a:extLst>
                    </a:blip>
                    <a:stretch>
                      <a:fillRect/>
                    </a:stretch>
                  </pic:blipFill>
                  <pic:spPr>
                    <a:xfrm>
                      <a:off x="0" y="0"/>
                      <a:ext cx="6858000" cy="1307465"/>
                    </a:xfrm>
                    <a:prstGeom prst="rect">
                      <a:avLst/>
                    </a:prstGeom>
                  </pic:spPr>
                </pic:pic>
              </a:graphicData>
            </a:graphic>
            <wp14:sizeRelV relativeFrom="margin">
              <wp14:pctHeight>0</wp14:pctHeight>
            </wp14:sizeRelV>
          </wp:anchor>
        </w:drawing>
      </w:r>
      <w:r w:rsidRPr="000711AC">
        <w:rPr>
          <w:noProof/>
        </w:rPr>
        <w:drawing>
          <wp:anchor distT="0" distB="0" distL="114300" distR="114300" simplePos="0" relativeHeight="251674112" behindDoc="1" locked="0" layoutInCell="1" allowOverlap="1" wp14:anchorId="3D87E291" wp14:editId="056A8187">
            <wp:simplePos x="0" y="0"/>
            <wp:positionH relativeFrom="column">
              <wp:posOffset>-42545</wp:posOffset>
            </wp:positionH>
            <wp:positionV relativeFrom="paragraph">
              <wp:posOffset>0</wp:posOffset>
            </wp:positionV>
            <wp:extent cx="6858000" cy="1392555"/>
            <wp:effectExtent l="0" t="0" r="0" b="0"/>
            <wp:wrapTight wrapText="bothSides">
              <wp:wrapPolygon edited="0">
                <wp:start x="0" y="0"/>
                <wp:lineTo x="0" y="21275"/>
                <wp:lineTo x="21540" y="21275"/>
                <wp:lineTo x="21540" y="0"/>
                <wp:lineTo x="0" y="0"/>
              </wp:wrapPolygon>
            </wp:wrapTight>
            <wp:docPr id="5" name="Imagen 5"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858000" cy="1392555"/>
                    </a:xfrm>
                    <a:prstGeom prst="rect">
                      <a:avLst/>
                    </a:prstGeom>
                  </pic:spPr>
                </pic:pic>
              </a:graphicData>
            </a:graphic>
            <wp14:sizeRelV relativeFrom="margin">
              <wp14:pctHeight>0</wp14:pctHeight>
            </wp14:sizeRelV>
          </wp:anchor>
        </w:drawing>
      </w:r>
      <w:r w:rsidR="008043F0" w:rsidRPr="000711AC">
        <w:rPr>
          <w:rFonts w:ascii="Bookman Old Style" w:hAnsi="Bookman Old Style"/>
          <w:b/>
          <w:bCs/>
          <w:sz w:val="36"/>
          <w:szCs w:val="36"/>
        </w:rPr>
        <w:t>“La Patria no se alquila,</w:t>
      </w:r>
      <w:r w:rsidR="000C3C08" w:rsidRPr="000711AC">
        <w:rPr>
          <w:rFonts w:ascii="Bookman Old Style" w:hAnsi="Bookman Old Style"/>
          <w:b/>
          <w:bCs/>
          <w:sz w:val="36"/>
          <w:szCs w:val="36"/>
        </w:rPr>
        <w:t xml:space="preserve"> </w:t>
      </w:r>
      <w:r w:rsidR="008043F0" w:rsidRPr="000711AC">
        <w:rPr>
          <w:rFonts w:ascii="Bookman Old Style" w:hAnsi="Bookman Old Style"/>
          <w:b/>
          <w:bCs/>
          <w:sz w:val="36"/>
          <w:szCs w:val="36"/>
        </w:rPr>
        <w:t>no se vende, no se regala, no se enajena,</w:t>
      </w:r>
      <w:r w:rsidR="004D142C" w:rsidRPr="000711AC">
        <w:rPr>
          <w:rFonts w:ascii="Bookman Old Style" w:hAnsi="Bookman Old Style"/>
          <w:b/>
          <w:bCs/>
          <w:sz w:val="36"/>
          <w:szCs w:val="36"/>
        </w:rPr>
        <w:t xml:space="preserve"> </w:t>
      </w:r>
      <w:r w:rsidR="008043F0" w:rsidRPr="000711AC">
        <w:rPr>
          <w:rFonts w:ascii="Bookman Old Style" w:hAnsi="Bookman Old Style"/>
          <w:b/>
          <w:bCs/>
          <w:sz w:val="36"/>
          <w:szCs w:val="36"/>
        </w:rPr>
        <w:t>la Patria se defiende”</w:t>
      </w:r>
      <w:r w:rsidR="00B511AC" w:rsidRPr="000711AC">
        <w:rPr>
          <w:rFonts w:ascii="Bookman Old Style" w:hAnsi="Bookman Old Style"/>
          <w:b/>
          <w:bCs/>
          <w:sz w:val="36"/>
          <w:szCs w:val="36"/>
        </w:rPr>
        <w:t>:</w:t>
      </w:r>
      <w:r w:rsidR="000C3C08" w:rsidRPr="000711AC">
        <w:rPr>
          <w:rFonts w:ascii="Bookman Old Style" w:hAnsi="Bookman Old Style"/>
          <w:b/>
          <w:bCs/>
          <w:sz w:val="36"/>
          <w:szCs w:val="36"/>
        </w:rPr>
        <w:t xml:space="preserve"> </w:t>
      </w:r>
      <w:r w:rsidR="008043F0" w:rsidRPr="000711AC">
        <w:rPr>
          <w:rFonts w:ascii="Times New Roman" w:hAnsi="Times New Roman" w:cs="Times New Roman"/>
          <w:i/>
          <w:iCs/>
          <w:sz w:val="28"/>
          <w:szCs w:val="28"/>
        </w:rPr>
        <w:t>Papa Francisco</w:t>
      </w:r>
      <w:r w:rsidR="003F4E58" w:rsidRPr="000711AC">
        <w:rPr>
          <w:rFonts w:ascii="Times New Roman" w:hAnsi="Times New Roman" w:cs="Times New Roman"/>
          <w:i/>
          <w:iCs/>
          <w:sz w:val="28"/>
          <w:szCs w:val="28"/>
        </w:rPr>
        <w:t>.</w:t>
      </w:r>
    </w:p>
    <w:p w14:paraId="71B077EC" w14:textId="616A3F35" w:rsidR="004532B1" w:rsidRPr="000711AC" w:rsidRDefault="008875FC" w:rsidP="000711AC">
      <w:pPr>
        <w:spacing w:before="240" w:after="240"/>
        <w:jc w:val="both"/>
        <w:rPr>
          <w:rFonts w:ascii="Bookman Old Style" w:hAnsi="Bookman Old Style"/>
          <w:b/>
          <w:bCs/>
          <w:sz w:val="40"/>
          <w:szCs w:val="40"/>
        </w:rPr>
      </w:pPr>
      <w:r>
        <w:rPr>
          <w:rFonts w:ascii="Bookman Old Style" w:hAnsi="Bookman Old Style"/>
          <w:noProof/>
        </w:rPr>
        <w:drawing>
          <wp:anchor distT="0" distB="0" distL="114300" distR="114300" simplePos="0" relativeHeight="251678208" behindDoc="1" locked="0" layoutInCell="1" allowOverlap="1" wp14:anchorId="5BF14B6B" wp14:editId="4BC37D45">
            <wp:simplePos x="0" y="0"/>
            <wp:positionH relativeFrom="column">
              <wp:posOffset>2232660</wp:posOffset>
            </wp:positionH>
            <wp:positionV relativeFrom="paragraph">
              <wp:posOffset>1391285</wp:posOffset>
            </wp:positionV>
            <wp:extent cx="4582160" cy="2978150"/>
            <wp:effectExtent l="0" t="0" r="8890" b="0"/>
            <wp:wrapTight wrapText="bothSides">
              <wp:wrapPolygon edited="0">
                <wp:start x="0" y="0"/>
                <wp:lineTo x="0" y="21416"/>
                <wp:lineTo x="21552" y="21416"/>
                <wp:lineTo x="21552" y="0"/>
                <wp:lineTo x="0" y="0"/>
              </wp:wrapPolygon>
            </wp:wrapTight>
            <wp:docPr id="14" name="Imagen 1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4582160" cy="2978150"/>
                    </a:xfrm>
                    <a:prstGeom prst="rect">
                      <a:avLst/>
                    </a:prstGeom>
                  </pic:spPr>
                </pic:pic>
              </a:graphicData>
            </a:graphic>
            <wp14:sizeRelH relativeFrom="margin">
              <wp14:pctWidth>0</wp14:pctWidth>
            </wp14:sizeRelH>
            <wp14:sizeRelV relativeFrom="margin">
              <wp14:pctHeight>0</wp14:pctHeight>
            </wp14:sizeRelV>
          </wp:anchor>
        </w:drawing>
      </w:r>
      <w:r w:rsidR="008043F0" w:rsidRPr="000711AC">
        <w:rPr>
          <w:rFonts w:ascii="Bookman Old Style" w:hAnsi="Bookman Old Style"/>
        </w:rPr>
        <w:t xml:space="preserve">“La Patria, el Pueblo y la Nación no son pasiones </w:t>
      </w:r>
      <w:r w:rsidR="000C3C08" w:rsidRPr="000711AC">
        <w:rPr>
          <w:rFonts w:ascii="Bookman Old Style" w:hAnsi="Bookman Old Style"/>
        </w:rPr>
        <w:t>inútiles</w:t>
      </w:r>
      <w:r w:rsidR="008043F0" w:rsidRPr="000711AC">
        <w:rPr>
          <w:rFonts w:ascii="Bookman Old Style" w:hAnsi="Bookman Old Style"/>
        </w:rPr>
        <w:t xml:space="preserve"> “: no basta </w:t>
      </w:r>
      <w:r w:rsidR="000C634E" w:rsidRPr="000711AC">
        <w:rPr>
          <w:rFonts w:ascii="Bookman Old Style" w:hAnsi="Bookman Old Style"/>
        </w:rPr>
        <w:t xml:space="preserve">con </w:t>
      </w:r>
      <w:r w:rsidR="008043F0" w:rsidRPr="000711AC">
        <w:rPr>
          <w:rFonts w:ascii="Bookman Old Style" w:hAnsi="Bookman Old Style"/>
        </w:rPr>
        <w:t>acumular riqueza</w:t>
      </w:r>
      <w:r w:rsidR="000C634E" w:rsidRPr="000711AC">
        <w:rPr>
          <w:rFonts w:ascii="Bookman Old Style" w:hAnsi="Bookman Old Style"/>
        </w:rPr>
        <w:t xml:space="preserve"> para crear una Patria, Cartago</w:t>
      </w:r>
      <w:r w:rsidR="008043F0" w:rsidRPr="000711AC">
        <w:rPr>
          <w:rFonts w:ascii="Bookman Old Style" w:hAnsi="Bookman Old Style"/>
        </w:rPr>
        <w:t xml:space="preserve"> no lo </w:t>
      </w:r>
      <w:r w:rsidR="000C3C08" w:rsidRPr="000711AC">
        <w:rPr>
          <w:rFonts w:ascii="Bookman Old Style" w:hAnsi="Bookman Old Style"/>
        </w:rPr>
        <w:t>fue. Son</w:t>
      </w:r>
      <w:r w:rsidR="008043F0" w:rsidRPr="000711AC">
        <w:rPr>
          <w:rFonts w:ascii="Bookman Old Style" w:hAnsi="Bookman Old Style"/>
        </w:rPr>
        <w:t xml:space="preserve"> condiciones sine qua non para </w:t>
      </w:r>
      <w:proofErr w:type="gramStart"/>
      <w:r w:rsidR="008043F0" w:rsidRPr="000711AC">
        <w:rPr>
          <w:rFonts w:ascii="Bookman Old Style" w:hAnsi="Bookman Old Style"/>
        </w:rPr>
        <w:t xml:space="preserve">lograrlo </w:t>
      </w:r>
      <w:r w:rsidR="00B511AC" w:rsidRPr="000711AC">
        <w:rPr>
          <w:rFonts w:ascii="Bookman Old Style" w:hAnsi="Bookman Old Style"/>
        </w:rPr>
        <w:t>,</w:t>
      </w:r>
      <w:r w:rsidR="008043F0" w:rsidRPr="000711AC">
        <w:rPr>
          <w:rFonts w:ascii="Bookman Old Style" w:hAnsi="Bookman Old Style"/>
        </w:rPr>
        <w:t>la</w:t>
      </w:r>
      <w:proofErr w:type="gramEnd"/>
      <w:r w:rsidR="008043F0" w:rsidRPr="000711AC">
        <w:rPr>
          <w:rFonts w:ascii="Bookman Old Style" w:hAnsi="Bookman Old Style"/>
        </w:rPr>
        <w:t xml:space="preserve"> </w:t>
      </w:r>
      <w:r w:rsidR="000C3C08" w:rsidRPr="000711AC">
        <w:rPr>
          <w:rFonts w:ascii="Bookman Old Style" w:hAnsi="Bookman Old Style"/>
        </w:rPr>
        <w:t>educación</w:t>
      </w:r>
      <w:r w:rsidR="008043F0" w:rsidRPr="000711AC">
        <w:rPr>
          <w:rFonts w:ascii="Bookman Old Style" w:hAnsi="Bookman Old Style"/>
        </w:rPr>
        <w:t xml:space="preserve">  pública de calidad, gratuita</w:t>
      </w:r>
      <w:r w:rsidR="000C634E" w:rsidRPr="000711AC">
        <w:rPr>
          <w:rFonts w:ascii="Bookman Old Style" w:hAnsi="Bookman Old Style"/>
        </w:rPr>
        <w:t xml:space="preserve"> y los ideales. </w:t>
      </w:r>
      <w:r w:rsidR="00B511AC" w:rsidRPr="000711AC">
        <w:rPr>
          <w:rFonts w:ascii="Bookman Old Style" w:hAnsi="Bookman Old Style"/>
        </w:rPr>
        <w:t>Solo es patriota e</w:t>
      </w:r>
      <w:r w:rsidR="000C634E" w:rsidRPr="000711AC">
        <w:rPr>
          <w:rFonts w:ascii="Bookman Old Style" w:hAnsi="Bookman Old Style"/>
        </w:rPr>
        <w:t xml:space="preserve">l </w:t>
      </w:r>
      <w:proofErr w:type="gramStart"/>
      <w:r w:rsidR="000C634E" w:rsidRPr="000711AC">
        <w:rPr>
          <w:rFonts w:ascii="Bookman Old Style" w:hAnsi="Bookman Old Style"/>
        </w:rPr>
        <w:t>que  lucha</w:t>
      </w:r>
      <w:proofErr w:type="gramEnd"/>
      <w:r w:rsidR="000C634E" w:rsidRPr="000711AC">
        <w:rPr>
          <w:rFonts w:ascii="Bookman Old Style" w:hAnsi="Bookman Old Style"/>
        </w:rPr>
        <w:t xml:space="preserve"> por el bienestar de su Pueblo </w:t>
      </w:r>
      <w:r w:rsidR="000C3C08" w:rsidRPr="000711AC">
        <w:rPr>
          <w:rFonts w:ascii="Bookman Old Style" w:hAnsi="Bookman Old Style"/>
        </w:rPr>
        <w:t>sacrificándose</w:t>
      </w:r>
      <w:r w:rsidR="00B511AC" w:rsidRPr="000711AC">
        <w:rPr>
          <w:rFonts w:ascii="Bookman Old Style" w:hAnsi="Bookman Old Style"/>
        </w:rPr>
        <w:t xml:space="preserve">  </w:t>
      </w:r>
      <w:r w:rsidR="000C634E" w:rsidRPr="000711AC">
        <w:rPr>
          <w:rFonts w:ascii="Bookman Old Style" w:hAnsi="Bookman Old Style"/>
        </w:rPr>
        <w:t xml:space="preserve">por emanciparlo de todos los yugos. El que ama a sus conciudadanos, los </w:t>
      </w:r>
      <w:r w:rsidR="000C3C08" w:rsidRPr="000711AC">
        <w:rPr>
          <w:rFonts w:ascii="Bookman Old Style" w:hAnsi="Bookman Old Style"/>
        </w:rPr>
        <w:t>educa, los</w:t>
      </w:r>
      <w:r w:rsidR="000C634E" w:rsidRPr="000711AC">
        <w:rPr>
          <w:rFonts w:ascii="Bookman Old Style" w:hAnsi="Bookman Old Style"/>
        </w:rPr>
        <w:t xml:space="preserve"> </w:t>
      </w:r>
      <w:proofErr w:type="gramStart"/>
      <w:r w:rsidR="000C634E" w:rsidRPr="000711AC">
        <w:rPr>
          <w:rFonts w:ascii="Bookman Old Style" w:hAnsi="Bookman Old Style"/>
        </w:rPr>
        <w:t>alienta ,</w:t>
      </w:r>
      <w:proofErr w:type="gramEnd"/>
      <w:r w:rsidR="000C634E" w:rsidRPr="000711AC">
        <w:rPr>
          <w:rFonts w:ascii="Bookman Old Style" w:hAnsi="Bookman Old Style"/>
        </w:rPr>
        <w:t xml:space="preserve"> los dignifica y los honra . Nadie tiene derecho de invocar la Patria </w:t>
      </w:r>
      <w:proofErr w:type="gramStart"/>
      <w:r w:rsidR="000C634E" w:rsidRPr="000711AC">
        <w:rPr>
          <w:rFonts w:ascii="Bookman Old Style" w:hAnsi="Bookman Old Style"/>
        </w:rPr>
        <w:t>mientras  no</w:t>
      </w:r>
      <w:proofErr w:type="gramEnd"/>
      <w:r w:rsidR="000C634E" w:rsidRPr="000711AC">
        <w:rPr>
          <w:rFonts w:ascii="Bookman Old Style" w:hAnsi="Bookman Old Style"/>
        </w:rPr>
        <w:t xml:space="preserve"> pruebe que ha  contribuido con obras a honrarla</w:t>
      </w:r>
      <w:r w:rsidR="00B511AC" w:rsidRPr="000711AC">
        <w:rPr>
          <w:rFonts w:ascii="Bookman Old Style" w:hAnsi="Bookman Old Style"/>
        </w:rPr>
        <w:t>, dignificarla y engrandecerla</w:t>
      </w:r>
      <w:r w:rsidR="000C634E" w:rsidRPr="000711AC">
        <w:rPr>
          <w:rFonts w:ascii="Bookman Old Style" w:hAnsi="Bookman Old Style"/>
        </w:rPr>
        <w:t xml:space="preserve">, como lo hicieran el General Libertador Bernardo </w:t>
      </w:r>
      <w:r w:rsidR="000C3C08" w:rsidRPr="000711AC">
        <w:rPr>
          <w:rFonts w:ascii="Bookman Old Style" w:hAnsi="Bookman Old Style"/>
        </w:rPr>
        <w:t>O’Higgins</w:t>
      </w:r>
      <w:r w:rsidR="000C634E" w:rsidRPr="000711AC">
        <w:rPr>
          <w:rFonts w:ascii="Bookman Old Style" w:hAnsi="Bookman Old Style"/>
        </w:rPr>
        <w:t xml:space="preserve"> Riquelme, el Toqui Lautaro y el compañero Presidente Dr. Salvador Allende Gossens.</w:t>
      </w:r>
    </w:p>
    <w:p w14:paraId="19F59E1C" w14:textId="6644D0BB" w:rsidR="004532B1" w:rsidRDefault="004532B1" w:rsidP="000711AC">
      <w:pPr>
        <w:spacing w:before="240" w:after="240"/>
        <w:jc w:val="both"/>
        <w:rPr>
          <w:rFonts w:ascii="Bookman Old Style" w:hAnsi="Bookman Old Style"/>
        </w:rPr>
      </w:pPr>
      <w:proofErr w:type="gramStart"/>
      <w:r w:rsidRPr="000711AC">
        <w:rPr>
          <w:rFonts w:ascii="Bookman Old Style" w:hAnsi="Bookman Old Style"/>
        </w:rPr>
        <w:t>Certifico</w:t>
      </w:r>
      <w:r w:rsidR="000C634E" w:rsidRPr="000711AC">
        <w:rPr>
          <w:rFonts w:ascii="Bookman Old Style" w:hAnsi="Bookman Old Style"/>
        </w:rPr>
        <w:t xml:space="preserve"> </w:t>
      </w:r>
      <w:r w:rsidR="00B511AC" w:rsidRPr="000711AC">
        <w:rPr>
          <w:rFonts w:ascii="Bookman Old Style" w:hAnsi="Bookman Old Style"/>
        </w:rPr>
        <w:t>:</w:t>
      </w:r>
      <w:proofErr w:type="gramEnd"/>
      <w:r w:rsidR="000C634E" w:rsidRPr="000711AC">
        <w:rPr>
          <w:rFonts w:ascii="Bookman Old Style" w:hAnsi="Bookman Old Style"/>
        </w:rPr>
        <w:t>Prof. Moreno Peralta /</w:t>
      </w:r>
      <w:r w:rsidR="000C3C08" w:rsidRPr="000711AC">
        <w:rPr>
          <w:rFonts w:ascii="Bookman Old Style" w:hAnsi="Bookman Old Style"/>
        </w:rPr>
        <w:t>IWA</w:t>
      </w:r>
      <w:r w:rsidRPr="000711AC">
        <w:rPr>
          <w:rFonts w:ascii="Bookman Old Style" w:hAnsi="Bookman Old Style"/>
        </w:rPr>
        <w:t xml:space="preserve"> Secretario Ejecutivo Addhee.Ong</w:t>
      </w:r>
    </w:p>
    <w:p w14:paraId="1A804569" w14:textId="10492702" w:rsidR="008875FC" w:rsidRDefault="008875FC" w:rsidP="000711AC">
      <w:pPr>
        <w:spacing w:before="240" w:after="240"/>
        <w:jc w:val="both"/>
        <w:rPr>
          <w:rFonts w:ascii="Bookman Old Style" w:hAnsi="Bookman Old Style"/>
        </w:rPr>
      </w:pPr>
    </w:p>
    <w:p w14:paraId="2DA4F6E1" w14:textId="2C9FD55B" w:rsidR="008875FC" w:rsidRDefault="008875FC" w:rsidP="000711AC">
      <w:pPr>
        <w:spacing w:before="240" w:after="240"/>
        <w:jc w:val="both"/>
        <w:rPr>
          <w:rFonts w:ascii="Bookman Old Style" w:hAnsi="Bookman Old Style"/>
        </w:rPr>
      </w:pPr>
    </w:p>
    <w:p w14:paraId="0AC8BFB5" w14:textId="526F2658" w:rsidR="008875FC" w:rsidRDefault="008875FC" w:rsidP="000711AC">
      <w:pPr>
        <w:spacing w:before="240" w:after="240"/>
        <w:jc w:val="both"/>
        <w:rPr>
          <w:rFonts w:ascii="Bookman Old Style" w:hAnsi="Bookman Old Style"/>
        </w:rPr>
      </w:pPr>
    </w:p>
    <w:p w14:paraId="0D1EE287" w14:textId="74E4FF60" w:rsidR="008875FC" w:rsidRDefault="008875FC" w:rsidP="000711AC">
      <w:pPr>
        <w:spacing w:before="240" w:after="240"/>
        <w:jc w:val="both"/>
        <w:rPr>
          <w:rFonts w:ascii="Bookman Old Style" w:hAnsi="Bookman Old Style"/>
        </w:rPr>
      </w:pPr>
    </w:p>
    <w:p w14:paraId="1025F7C5" w14:textId="77777777" w:rsidR="008875FC" w:rsidRPr="000711AC" w:rsidRDefault="008875FC" w:rsidP="000711AC">
      <w:pPr>
        <w:spacing w:before="240" w:after="240"/>
        <w:jc w:val="both"/>
        <w:rPr>
          <w:rFonts w:ascii="Bookman Old Style" w:hAnsi="Bookman Old Style"/>
        </w:rPr>
      </w:pPr>
    </w:p>
    <w:p w14:paraId="2C6D37F7" w14:textId="4DBED97A" w:rsidR="003943EC" w:rsidRPr="000C3C08" w:rsidRDefault="000711AC" w:rsidP="004532B1">
      <w:pPr>
        <w:jc w:val="both"/>
        <w:rPr>
          <w:rFonts w:ascii="Bookman Old Style" w:hAnsi="Bookman Old Style"/>
          <w:sz w:val="36"/>
          <w:szCs w:val="36"/>
        </w:rPr>
      </w:pPr>
      <w:r w:rsidRPr="000C3C08">
        <w:rPr>
          <w:rFonts w:ascii="Bookman Old Style" w:eastAsia="Times New Roman" w:hAnsi="Bookman Old Style" w:cs="Times New Roman"/>
          <w:noProof/>
          <w:color w:val="515151"/>
          <w:sz w:val="28"/>
          <w:szCs w:val="28"/>
          <w:lang w:eastAsia="es-CL"/>
        </w:rPr>
        <w:lastRenderedPageBreak/>
        <w:drawing>
          <wp:anchor distT="0" distB="0" distL="114300" distR="114300" simplePos="0" relativeHeight="251652096" behindDoc="1" locked="0" layoutInCell="1" allowOverlap="1" wp14:anchorId="3CE1F59A" wp14:editId="2EB7E08A">
            <wp:simplePos x="0" y="0"/>
            <wp:positionH relativeFrom="column">
              <wp:posOffset>84662</wp:posOffset>
            </wp:positionH>
            <wp:positionV relativeFrom="paragraph">
              <wp:posOffset>1247879</wp:posOffset>
            </wp:positionV>
            <wp:extent cx="892810" cy="892810"/>
            <wp:effectExtent l="0" t="0" r="0" b="0"/>
            <wp:wrapTight wrapText="bothSides">
              <wp:wrapPolygon edited="0">
                <wp:start x="0" y="0"/>
                <wp:lineTo x="0" y="20920"/>
                <wp:lineTo x="20920" y="20920"/>
                <wp:lineTo x="20920" y="0"/>
                <wp:lineTo x="0" y="0"/>
              </wp:wrapPolygon>
            </wp:wrapTight>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892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11AC" w:rsidRPr="000C3C08">
        <w:rPr>
          <w:rFonts w:ascii="Bookman Old Style" w:hAnsi="Bookman Old Style"/>
          <w:sz w:val="36"/>
          <w:szCs w:val="36"/>
        </w:rPr>
        <w:t>“</w:t>
      </w:r>
      <w:r w:rsidR="004532B1" w:rsidRPr="000C3C08">
        <w:rPr>
          <w:rFonts w:ascii="Bookman Old Style" w:hAnsi="Bookman Old Style"/>
          <w:sz w:val="36"/>
          <w:szCs w:val="36"/>
        </w:rPr>
        <w:t xml:space="preserve">Se profundiza el saqueo a la minería en general y el cobre en especial del Pueblo </w:t>
      </w:r>
      <w:proofErr w:type="gramStart"/>
      <w:r w:rsidR="004532B1" w:rsidRPr="000C3C08">
        <w:rPr>
          <w:rFonts w:ascii="Bookman Old Style" w:hAnsi="Bookman Old Style"/>
          <w:sz w:val="36"/>
          <w:szCs w:val="36"/>
        </w:rPr>
        <w:t>Chileno.-</w:t>
      </w:r>
      <w:proofErr w:type="gramEnd"/>
      <w:r w:rsidR="003943EC" w:rsidRPr="000C3C08">
        <w:rPr>
          <w:rFonts w:ascii="Bookman Old Style" w:hAnsi="Bookman Old Style"/>
          <w:sz w:val="36"/>
          <w:szCs w:val="36"/>
        </w:rPr>
        <w:t xml:space="preserve"> </w:t>
      </w:r>
      <w:r w:rsidR="004532B1" w:rsidRPr="000C3C08">
        <w:rPr>
          <w:rFonts w:ascii="Bookman Old Style" w:hAnsi="Bookman Old Style"/>
          <w:b/>
          <w:bCs/>
          <w:sz w:val="36"/>
          <w:szCs w:val="36"/>
        </w:rPr>
        <w:t>Proyecto de royalty en el Senado: Ni Colombia regala sus recursos naturales no renovables como  lo hace Chile.</w:t>
      </w:r>
      <w:r w:rsidR="004532B1" w:rsidRPr="000C3C08">
        <w:rPr>
          <w:rFonts w:ascii="Bookman Old Style" w:hAnsi="Bookman Old Style"/>
          <w:sz w:val="36"/>
          <w:szCs w:val="36"/>
        </w:rPr>
        <w:t xml:space="preserve"> </w:t>
      </w:r>
    </w:p>
    <w:p w14:paraId="13181BD9" w14:textId="3EE0B64F" w:rsidR="003943EC" w:rsidRDefault="004532B1" w:rsidP="004532B1">
      <w:pPr>
        <w:jc w:val="both"/>
        <w:rPr>
          <w:rFonts w:ascii="Bookman Old Style" w:hAnsi="Bookman Old Style"/>
          <w:sz w:val="28"/>
          <w:szCs w:val="28"/>
        </w:rPr>
      </w:pPr>
      <w:r w:rsidRPr="003943EC">
        <w:rPr>
          <w:rFonts w:ascii="Bookman Old Style" w:hAnsi="Bookman Old Style"/>
          <w:sz w:val="28"/>
          <w:szCs w:val="28"/>
        </w:rPr>
        <w:t xml:space="preserve">Ing. </w:t>
      </w:r>
      <w:proofErr w:type="spellStart"/>
      <w:r w:rsidRPr="003943EC">
        <w:rPr>
          <w:rFonts w:ascii="Bookman Old Style" w:hAnsi="Bookman Old Style"/>
          <w:sz w:val="28"/>
          <w:szCs w:val="28"/>
        </w:rPr>
        <w:t>Julian</w:t>
      </w:r>
      <w:proofErr w:type="spellEnd"/>
      <w:r w:rsidRPr="003943EC">
        <w:rPr>
          <w:rFonts w:ascii="Bookman Old Style" w:hAnsi="Bookman Old Style"/>
          <w:sz w:val="28"/>
          <w:szCs w:val="28"/>
        </w:rPr>
        <w:t xml:space="preserve"> Alcayaga Olivares /abogado y economista. </w:t>
      </w:r>
    </w:p>
    <w:p w14:paraId="1C8064E4" w14:textId="77777777" w:rsidR="008875FC" w:rsidRDefault="004532B1" w:rsidP="008875FC">
      <w:pPr>
        <w:jc w:val="both"/>
        <w:rPr>
          <w:rFonts w:ascii="Bookman Old Style" w:hAnsi="Bookman Old Style"/>
          <w:sz w:val="28"/>
          <w:szCs w:val="28"/>
        </w:rPr>
      </w:pPr>
      <w:r w:rsidRPr="003943EC">
        <w:rPr>
          <w:rFonts w:ascii="Bookman Old Style" w:hAnsi="Bookman Old Style"/>
          <w:sz w:val="28"/>
          <w:szCs w:val="28"/>
        </w:rPr>
        <w:t>El Soberano.</w:t>
      </w:r>
    </w:p>
    <w:p w14:paraId="7CC4C8AC" w14:textId="77777777" w:rsidR="008875FC" w:rsidRDefault="008875FC" w:rsidP="008875FC">
      <w:pPr>
        <w:jc w:val="both"/>
        <w:rPr>
          <w:rFonts w:ascii="Bookman Old Style" w:eastAsia="Times New Roman" w:hAnsi="Bookman Old Style" w:cs="Times New Roman"/>
          <w:b/>
          <w:bCs/>
          <w:i/>
          <w:iCs/>
          <w:color w:val="111111"/>
          <w:lang w:eastAsia="es-CL"/>
        </w:rPr>
      </w:pPr>
    </w:p>
    <w:p w14:paraId="5B12F1D4" w14:textId="5F2DD803" w:rsidR="003943EC" w:rsidRPr="008875FC" w:rsidRDefault="003943EC" w:rsidP="008875FC">
      <w:pPr>
        <w:jc w:val="both"/>
        <w:rPr>
          <w:rFonts w:ascii="Bookman Old Style" w:hAnsi="Bookman Old Style"/>
          <w:sz w:val="28"/>
          <w:szCs w:val="28"/>
        </w:rPr>
      </w:pPr>
      <w:r w:rsidRPr="003943EC">
        <w:rPr>
          <w:rFonts w:ascii="Bookman Old Style" w:eastAsia="Times New Roman" w:hAnsi="Bookman Old Style" w:cs="Times New Roman"/>
          <w:b/>
          <w:bCs/>
          <w:i/>
          <w:iCs/>
          <w:color w:val="111111"/>
          <w:lang w:eastAsia="es-CL"/>
        </w:rPr>
        <w:t>El camino más lógico y eficiente para que Chile recupere algo de lo que las trasnacionales mineras saquean de nuestro territorio es, según el economista y abogado de Chile Cobre, Julián Alcayaga, la aplicación de impuestos a las ventas y no a las ganancias, ya que el gravamen a las utilidades es evadido por empresas expertas en inventar pérdidas. Increíblemente, Chile es aún más entreguista en cuanto a sus recursos no renovables que Colombia.</w:t>
      </w:r>
    </w:p>
    <w:p w14:paraId="7EBA38C8" w14:textId="59B85D30" w:rsidR="003943EC" w:rsidRDefault="003943EC" w:rsidP="000711AC">
      <w:pPr>
        <w:shd w:val="clear" w:color="auto" w:fill="FFFFFF"/>
        <w:spacing w:after="0" w:line="240" w:lineRule="auto"/>
        <w:jc w:val="right"/>
        <w:rPr>
          <w:rFonts w:ascii="Bookman Old Style" w:eastAsia="Times New Roman" w:hAnsi="Bookman Old Style" w:cs="Times New Roman"/>
          <w:b/>
          <w:bCs/>
          <w:i/>
          <w:iCs/>
          <w:color w:val="111111"/>
          <w:lang w:eastAsia="es-CL"/>
        </w:rPr>
      </w:pPr>
      <w:r w:rsidRPr="003943EC">
        <w:rPr>
          <w:rFonts w:ascii="Bookman Old Style" w:eastAsia="Times New Roman" w:hAnsi="Bookman Old Style" w:cs="Times New Roman"/>
          <w:color w:val="111111"/>
          <w:lang w:eastAsia="es-CL"/>
        </w:rPr>
        <w:t>*</w:t>
      </w:r>
      <w:r w:rsidRPr="003943EC">
        <w:rPr>
          <w:rFonts w:ascii="Bookman Old Style" w:eastAsia="Times New Roman" w:hAnsi="Bookman Old Style" w:cs="Times New Roman"/>
          <w:b/>
          <w:bCs/>
          <w:i/>
          <w:iCs/>
          <w:color w:val="111111"/>
          <w:lang w:eastAsia="es-CL"/>
        </w:rPr>
        <w:t>Julián Alcayaga</w:t>
      </w:r>
    </w:p>
    <w:p w14:paraId="582DD016" w14:textId="7FC218D1" w:rsidR="003943EC" w:rsidRDefault="003943EC" w:rsidP="000711AC">
      <w:pPr>
        <w:shd w:val="clear" w:color="auto" w:fill="FFFFFF"/>
        <w:spacing w:after="0" w:line="240" w:lineRule="auto"/>
        <w:jc w:val="right"/>
        <w:rPr>
          <w:rFonts w:ascii="Bookman Old Style" w:eastAsia="Times New Roman" w:hAnsi="Bookman Old Style" w:cs="Times New Roman"/>
          <w:b/>
          <w:bCs/>
          <w:i/>
          <w:iCs/>
          <w:color w:val="111111"/>
          <w:lang w:eastAsia="es-CL"/>
        </w:rPr>
      </w:pPr>
      <w:r w:rsidRPr="003943EC">
        <w:rPr>
          <w:rFonts w:ascii="Bookman Old Style" w:eastAsia="Times New Roman" w:hAnsi="Bookman Old Style" w:cs="Times New Roman"/>
          <w:b/>
          <w:bCs/>
          <w:i/>
          <w:iCs/>
          <w:color w:val="111111"/>
          <w:lang w:eastAsia="es-CL"/>
        </w:rPr>
        <w:t>Abogado y economista</w:t>
      </w:r>
    </w:p>
    <w:p w14:paraId="00D43FA4" w14:textId="1F4FEC6D" w:rsidR="003943EC" w:rsidRPr="003943EC" w:rsidRDefault="003943EC" w:rsidP="000711AC">
      <w:pPr>
        <w:shd w:val="clear" w:color="auto" w:fill="FFFFFF"/>
        <w:spacing w:after="0" w:line="240" w:lineRule="auto"/>
        <w:jc w:val="right"/>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b/>
          <w:bCs/>
          <w:i/>
          <w:iCs/>
          <w:color w:val="111111"/>
          <w:lang w:eastAsia="es-CL"/>
        </w:rPr>
        <w:t>Chile Cobre</w:t>
      </w:r>
    </w:p>
    <w:p w14:paraId="699A2016" w14:textId="431B52C6"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b/>
          <w:bCs/>
          <w:color w:val="111111"/>
          <w:lang w:eastAsia="es-CL"/>
        </w:rPr>
        <w:t>La Cámara de Diputados aprobó un proyecto de Royalty a la minería</w:t>
      </w:r>
      <w:r w:rsidRPr="003943EC">
        <w:rPr>
          <w:rFonts w:ascii="Bookman Old Style" w:eastAsia="Times New Roman" w:hAnsi="Bookman Old Style" w:cs="Times New Roman"/>
          <w:color w:val="111111"/>
          <w:lang w:eastAsia="es-CL"/>
        </w:rPr>
        <w:t>, que ahora que se discute en la Comisión de Minería del Senado, que tiene el mérito de ser una verdadera regalía minera, que en Chile llamamos royalty, y decimos verdadera regalía </w:t>
      </w:r>
      <w:r w:rsidRPr="003943EC">
        <w:rPr>
          <w:rFonts w:ascii="Bookman Old Style" w:eastAsia="Times New Roman" w:hAnsi="Bookman Old Style" w:cs="Times New Roman"/>
          <w:b/>
          <w:bCs/>
          <w:color w:val="111111"/>
          <w:lang w:eastAsia="es-CL"/>
        </w:rPr>
        <w:t>porque esta se aplicará sobre las ventas, aunque su tasa no es muy importante, solo 3%, si el precio del cobre es de 2 dólares la libra</w:t>
      </w:r>
      <w:r w:rsidRPr="003943EC">
        <w:rPr>
          <w:rFonts w:ascii="Bookman Old Style" w:eastAsia="Times New Roman" w:hAnsi="Bookman Old Style" w:cs="Times New Roman"/>
          <w:color w:val="111111"/>
          <w:lang w:eastAsia="es-CL"/>
        </w:rPr>
        <w:t>, que aumenta marginalmente por tramos, a medida que aumenta el precio del cobre, lo que es poco en relación a la regalía que se aplica en Colombia, como veremos más adelante.</w:t>
      </w:r>
    </w:p>
    <w:p w14:paraId="58CDDDF5" w14:textId="4887D794" w:rsidR="003943EC" w:rsidRPr="003943EC" w:rsidRDefault="008875FC" w:rsidP="00C80ECA">
      <w:pPr>
        <w:shd w:val="clear" w:color="auto" w:fill="FFFFFF"/>
        <w:spacing w:before="120" w:after="120"/>
        <w:jc w:val="both"/>
        <w:rPr>
          <w:rFonts w:ascii="Bookman Old Style" w:eastAsia="Times New Roman" w:hAnsi="Bookman Old Style" w:cs="Times New Roman"/>
          <w:color w:val="111111"/>
          <w:lang w:eastAsia="es-CL"/>
        </w:rPr>
      </w:pPr>
      <w:r>
        <w:rPr>
          <w:rFonts w:ascii="Bookman Old Style" w:eastAsia="Times New Roman" w:hAnsi="Bookman Old Style" w:cs="Times New Roman"/>
          <w:noProof/>
          <w:color w:val="111111"/>
          <w:lang w:eastAsia="es-CL"/>
        </w:rPr>
        <w:drawing>
          <wp:anchor distT="0" distB="0" distL="114300" distR="114300" simplePos="0" relativeHeight="251667968" behindDoc="1" locked="0" layoutInCell="1" allowOverlap="1" wp14:anchorId="3D0DA209" wp14:editId="52EA0139">
            <wp:simplePos x="0" y="0"/>
            <wp:positionH relativeFrom="column">
              <wp:posOffset>4380230</wp:posOffset>
            </wp:positionH>
            <wp:positionV relativeFrom="paragraph">
              <wp:posOffset>115570</wp:posOffset>
            </wp:positionV>
            <wp:extent cx="2478405" cy="1861820"/>
            <wp:effectExtent l="0" t="0" r="0" b="5080"/>
            <wp:wrapTight wrapText="bothSides">
              <wp:wrapPolygon edited="0">
                <wp:start x="0" y="0"/>
                <wp:lineTo x="0" y="21438"/>
                <wp:lineTo x="21417" y="21438"/>
                <wp:lineTo x="21417" y="0"/>
                <wp:lineTo x="0" y="0"/>
              </wp:wrapPolygon>
            </wp:wrapTigh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8405" cy="186182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5DF1605C" wp14:editId="110E2955">
                <wp:simplePos x="0" y="0"/>
                <wp:positionH relativeFrom="column">
                  <wp:posOffset>4284345</wp:posOffset>
                </wp:positionH>
                <wp:positionV relativeFrom="paragraph">
                  <wp:posOffset>2079137</wp:posOffset>
                </wp:positionV>
                <wp:extent cx="2577465" cy="318770"/>
                <wp:effectExtent l="0" t="0" r="0" b="5080"/>
                <wp:wrapTight wrapText="bothSides">
                  <wp:wrapPolygon edited="0">
                    <wp:start x="0" y="0"/>
                    <wp:lineTo x="0" y="20653"/>
                    <wp:lineTo x="21392" y="20653"/>
                    <wp:lineTo x="21392" y="0"/>
                    <wp:lineTo x="0" y="0"/>
                  </wp:wrapPolygon>
                </wp:wrapTight>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7465"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A9911" w14:textId="1B76DA82" w:rsidR="003943EC" w:rsidRPr="007224E1" w:rsidRDefault="003943EC" w:rsidP="00C80ECA">
                            <w:pPr>
                              <w:pStyle w:val="Descripcin"/>
                              <w:jc w:val="center"/>
                              <w:rPr>
                                <w:rFonts w:ascii="Bookman Old Style" w:eastAsia="Times New Roman" w:hAnsi="Bookman Old Style" w:cs="Times New Roman"/>
                                <w:noProof/>
                                <w:color w:val="111111"/>
                              </w:rPr>
                            </w:pPr>
                            <w:r w:rsidRPr="003943EC">
                              <w:rPr>
                                <w:b/>
                                <w:bCs/>
                                <w:sz w:val="28"/>
                                <w:szCs w:val="28"/>
                              </w:rPr>
                              <w:t>Julián Alcayaga, de Chile Cobre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1605C" id="_x0000_t202" coordsize="21600,21600" o:spt="202" path="m,l,21600r21600,l21600,xe">
                <v:stroke joinstyle="miter"/>
                <v:path gradientshapeok="t" o:connecttype="rect"/>
              </v:shapetype>
              <v:shape id="Text Box 7" o:spid="_x0000_s1026" type="#_x0000_t202" style="position:absolute;left:0;text-align:left;margin-left:337.35pt;margin-top:163.7pt;width:202.95pt;height:2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" stroked="f">
                <v:textbox inset="0,0,0,0">
                  <w:txbxContent>
                    <w:p w14:paraId="100A9911" w14:textId="1B76DA82" w:rsidR="003943EC" w:rsidRPr="007224E1" w:rsidRDefault="003943EC" w:rsidP="00C80ECA">
                      <w:pPr>
                        <w:pStyle w:val="Descripcin"/>
                        <w:jc w:val="center"/>
                        <w:rPr>
                          <w:rFonts w:ascii="Bookman Old Style" w:eastAsia="Times New Roman" w:hAnsi="Bookman Old Style" w:cs="Times New Roman"/>
                          <w:noProof/>
                          <w:color w:val="111111"/>
                        </w:rPr>
                      </w:pPr>
                      <w:r w:rsidRPr="003943EC">
                        <w:rPr>
                          <w:b/>
                          <w:bCs/>
                          <w:sz w:val="28"/>
                          <w:szCs w:val="28"/>
                        </w:rPr>
                        <w:t>Julián Alcayaga, de Chile Cobre</w:t>
                      </w:r>
                    </w:p>
                  </w:txbxContent>
                </v:textbox>
                <w10:wrap type="tight"/>
              </v:shape>
            </w:pict>
          </mc:Fallback>
        </mc:AlternateContent>
      </w:r>
      <w:r w:rsidR="003943EC" w:rsidRPr="003943EC">
        <w:rPr>
          <w:rFonts w:ascii="Bookman Old Style" w:eastAsia="Times New Roman" w:hAnsi="Bookman Old Style" w:cs="Times New Roman"/>
          <w:color w:val="111111"/>
          <w:lang w:eastAsia="es-CL"/>
        </w:rPr>
        <w:t>Sin embargo, </w:t>
      </w:r>
      <w:r w:rsidR="003943EC" w:rsidRPr="003943EC">
        <w:rPr>
          <w:rFonts w:ascii="Bookman Old Style" w:eastAsia="Times New Roman" w:hAnsi="Bookman Old Style" w:cs="Times New Roman"/>
          <w:b/>
          <w:bCs/>
          <w:color w:val="111111"/>
          <w:lang w:eastAsia="es-CL"/>
        </w:rPr>
        <w:t xml:space="preserve">este proyecto de regalía minera ha generado acerbas críticas tanto de las mineras extranjeras establecidas en Chile, como de sus organismos gremiales como SONAMI y el Consejo Minero, y sus acólito, </w:t>
      </w:r>
      <w:proofErr w:type="spellStart"/>
      <w:r w:rsidR="003943EC" w:rsidRPr="003943EC">
        <w:rPr>
          <w:rFonts w:ascii="Bookman Old Style" w:eastAsia="Times New Roman" w:hAnsi="Bookman Old Style" w:cs="Times New Roman"/>
          <w:b/>
          <w:bCs/>
          <w:color w:val="111111"/>
          <w:lang w:eastAsia="es-CL"/>
        </w:rPr>
        <w:t>lobbystas</w:t>
      </w:r>
      <w:proofErr w:type="spellEnd"/>
      <w:r w:rsidR="003943EC" w:rsidRPr="003943EC">
        <w:rPr>
          <w:rFonts w:ascii="Bookman Old Style" w:eastAsia="Times New Roman" w:hAnsi="Bookman Old Style" w:cs="Times New Roman"/>
          <w:b/>
          <w:bCs/>
          <w:color w:val="111111"/>
          <w:lang w:eastAsia="es-CL"/>
        </w:rPr>
        <w:t xml:space="preserve"> y “expertos”, que se oponen a una regalía ad </w:t>
      </w:r>
      <w:proofErr w:type="spellStart"/>
      <w:r w:rsidR="003943EC" w:rsidRPr="003943EC">
        <w:rPr>
          <w:rFonts w:ascii="Bookman Old Style" w:eastAsia="Times New Roman" w:hAnsi="Bookman Old Style" w:cs="Times New Roman"/>
          <w:b/>
          <w:bCs/>
          <w:color w:val="111111"/>
          <w:lang w:eastAsia="es-CL"/>
        </w:rPr>
        <w:t>valorem</w:t>
      </w:r>
      <w:proofErr w:type="spellEnd"/>
      <w:r w:rsidR="003943EC" w:rsidRPr="003943EC">
        <w:rPr>
          <w:rFonts w:ascii="Bookman Old Style" w:eastAsia="Times New Roman" w:hAnsi="Bookman Old Style" w:cs="Times New Roman"/>
          <w:color w:val="111111"/>
          <w:lang w:eastAsia="es-CL"/>
        </w:rPr>
        <w:t>, en razón que se aplica sobre las ventas, es decir del precio multiplicado por la cantidad vendida, y que no graven sólo el componente de renta efectiva, como lo hace por ejemplo el Impuesto Específico a la Minería, </w:t>
      </w:r>
      <w:r w:rsidR="003943EC" w:rsidRPr="003943EC">
        <w:rPr>
          <w:rFonts w:ascii="Bookman Old Style" w:eastAsia="Times New Roman" w:hAnsi="Bookman Old Style" w:cs="Times New Roman"/>
          <w:b/>
          <w:bCs/>
          <w:color w:val="111111"/>
          <w:lang w:eastAsia="es-CL"/>
        </w:rPr>
        <w:t>y precisamente por esta razón es un fracaso incontestable, puesto que proporciona una recaudación miserable, en razón que las mineras extranjeras, son expertas es en evadir la renta o ganancia</w:t>
      </w:r>
      <w:r w:rsidR="003943EC" w:rsidRPr="003943EC">
        <w:rPr>
          <w:rFonts w:ascii="Bookman Old Style" w:eastAsia="Times New Roman" w:hAnsi="Bookman Old Style" w:cs="Times New Roman"/>
          <w:color w:val="111111"/>
          <w:lang w:eastAsia="es-CL"/>
        </w:rPr>
        <w:t>, y consecuentemente pueden evadir o reducir al máximo cualquier tipo de impuesto o “royalty”, que se base precisamente en la renta efectiva o ganancia.</w:t>
      </w:r>
    </w:p>
    <w:p w14:paraId="6CC8EFDF" w14:textId="5CE80A3D"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 xml:space="preserve">Los expertos y </w:t>
      </w:r>
      <w:proofErr w:type="spellStart"/>
      <w:r w:rsidRPr="003943EC">
        <w:rPr>
          <w:rFonts w:ascii="Bookman Old Style" w:eastAsia="Times New Roman" w:hAnsi="Bookman Old Style" w:cs="Times New Roman"/>
          <w:color w:val="111111"/>
          <w:lang w:eastAsia="es-CL"/>
        </w:rPr>
        <w:t>lobbystas</w:t>
      </w:r>
      <w:proofErr w:type="spellEnd"/>
      <w:r w:rsidRPr="003943EC">
        <w:rPr>
          <w:rFonts w:ascii="Bookman Old Style" w:eastAsia="Times New Roman" w:hAnsi="Bookman Old Style" w:cs="Times New Roman"/>
          <w:color w:val="111111"/>
          <w:lang w:eastAsia="es-CL"/>
        </w:rPr>
        <w:t xml:space="preserve"> de las mineras, tratan con ello de asimilar la regalía o royalty, al impuesto a la renta que deben pagar todas las empresas que realizan una actividad productiva, comercial o de servicios en cualquier sector de la economía, impuesto a la renta, ganancia, beneficio, corporativo, o como se le quiera llamar, y que existe en todos los países del mundo. Como toda actividad productiva y comercial, la minería también tiene que pagar impuesto a la renta por su actividad minera, como </w:t>
      </w:r>
      <w:r w:rsidRPr="003943EC">
        <w:rPr>
          <w:rFonts w:ascii="Bookman Old Style" w:eastAsia="Times New Roman" w:hAnsi="Bookman Old Style" w:cs="Times New Roman"/>
          <w:color w:val="111111"/>
          <w:lang w:eastAsia="es-CL"/>
        </w:rPr>
        <w:lastRenderedPageBreak/>
        <w:t xml:space="preserve">cualquier otro sector de la economía. Pero la regalía no tiene nada que ver con un impuesto, sino que es una compensación, contraprestación o precio a pagar al dueño de la mina, el Estado, por apropiarse del mineral que extraen de esa mina o yacimiento. Así como un panadero debe comprar la harina y otros producto para producir </w:t>
      </w:r>
      <w:proofErr w:type="gramStart"/>
      <w:r w:rsidRPr="003943EC">
        <w:rPr>
          <w:rFonts w:ascii="Bookman Old Style" w:eastAsia="Times New Roman" w:hAnsi="Bookman Old Style" w:cs="Times New Roman"/>
          <w:color w:val="111111"/>
          <w:lang w:eastAsia="es-CL"/>
        </w:rPr>
        <w:t>y  vender</w:t>
      </w:r>
      <w:proofErr w:type="gramEnd"/>
      <w:r w:rsidRPr="003943EC">
        <w:rPr>
          <w:rFonts w:ascii="Bookman Old Style" w:eastAsia="Times New Roman" w:hAnsi="Bookman Old Style" w:cs="Times New Roman"/>
          <w:color w:val="111111"/>
          <w:lang w:eastAsia="es-CL"/>
        </w:rPr>
        <w:t xml:space="preserve"> pan, mientras que la empresa minera extrae el mineral (equivalente a la harina del panadero) pero no paga absolutamente nada por apropiarse de ese mineral que es del Estado, y producir y vender concentrado o cobre refinado. La regalía viene a ser solo parte del precio del mineral (la harina del panadero) que utiliza para vender concentrado o cobre refinado, amén de otras substancias contenidas en el concentrado.</w:t>
      </w:r>
    </w:p>
    <w:p w14:paraId="73A71F1E" w14:textId="40A8A8C2"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 xml:space="preserve">Además, los </w:t>
      </w:r>
      <w:proofErr w:type="spellStart"/>
      <w:r w:rsidRPr="003943EC">
        <w:rPr>
          <w:rFonts w:ascii="Bookman Old Style" w:eastAsia="Times New Roman" w:hAnsi="Bookman Old Style" w:cs="Times New Roman"/>
          <w:color w:val="111111"/>
          <w:lang w:eastAsia="es-CL"/>
        </w:rPr>
        <w:t>lobbystas</w:t>
      </w:r>
      <w:proofErr w:type="spellEnd"/>
      <w:r w:rsidRPr="003943EC">
        <w:rPr>
          <w:rFonts w:ascii="Bookman Old Style" w:eastAsia="Times New Roman" w:hAnsi="Bookman Old Style" w:cs="Times New Roman"/>
          <w:color w:val="111111"/>
          <w:lang w:eastAsia="es-CL"/>
        </w:rPr>
        <w:t xml:space="preserve"> y expertos de las mineras extranjeras, </w:t>
      </w:r>
      <w:r w:rsidRPr="003943EC">
        <w:rPr>
          <w:rFonts w:ascii="Bookman Old Style" w:eastAsia="Times New Roman" w:hAnsi="Bookman Old Style" w:cs="Times New Roman"/>
          <w:b/>
          <w:bCs/>
          <w:color w:val="111111"/>
          <w:lang w:eastAsia="es-CL"/>
        </w:rPr>
        <w:t>se quejan, lloran, que la regalía del proyecto ya aprobado por la Cámara de Diputados, de 3% sobre las ventas</w:t>
      </w:r>
      <w:r w:rsidRPr="003943EC">
        <w:rPr>
          <w:rFonts w:ascii="Bookman Old Style" w:eastAsia="Times New Roman" w:hAnsi="Bookman Old Style" w:cs="Times New Roman"/>
          <w:color w:val="111111"/>
          <w:lang w:eastAsia="es-CL"/>
        </w:rPr>
        <w:t>, con aumento marginales en función del aumento del precio del cobre, sería demasiado elevado, lo que es una falsedad, como lo comprobaremos con la regalía minera que existe en Colombia desde 1994.</w:t>
      </w:r>
    </w:p>
    <w:p w14:paraId="15A1DEBD" w14:textId="33198160" w:rsid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b/>
          <w:bCs/>
          <w:color w:val="111111"/>
          <w:lang w:eastAsia="es-CL"/>
        </w:rPr>
        <w:t xml:space="preserve">Colombia es un país que se ha destacado o es conocido como uno de los más neoliberales y proclives a los </w:t>
      </w:r>
      <w:proofErr w:type="gramStart"/>
      <w:r w:rsidRPr="003943EC">
        <w:rPr>
          <w:rFonts w:ascii="Bookman Old Style" w:eastAsia="Times New Roman" w:hAnsi="Bookman Old Style" w:cs="Times New Roman"/>
          <w:b/>
          <w:bCs/>
          <w:color w:val="111111"/>
          <w:lang w:eastAsia="es-CL"/>
        </w:rPr>
        <w:t>EEUU</w:t>
      </w:r>
      <w:proofErr w:type="gramEnd"/>
      <w:r w:rsidRPr="003943EC">
        <w:rPr>
          <w:rFonts w:ascii="Bookman Old Style" w:eastAsia="Times New Roman" w:hAnsi="Bookman Old Style" w:cs="Times New Roman"/>
          <w:b/>
          <w:bCs/>
          <w:color w:val="111111"/>
          <w:lang w:eastAsia="es-CL"/>
        </w:rPr>
        <w:t xml:space="preserve"> de todos los países latinoamericanos</w:t>
      </w:r>
      <w:r w:rsidRPr="003943EC">
        <w:rPr>
          <w:rFonts w:ascii="Bookman Old Style" w:eastAsia="Times New Roman" w:hAnsi="Bookman Old Style" w:cs="Times New Roman"/>
          <w:color w:val="111111"/>
          <w:lang w:eastAsia="es-CL"/>
        </w:rPr>
        <w:t>. Es conocido como un país de derecha en lo político y neoliberal en lo económico, sin embargo, </w:t>
      </w:r>
      <w:r w:rsidRPr="003943EC">
        <w:rPr>
          <w:rFonts w:ascii="Bookman Old Style" w:eastAsia="Times New Roman" w:hAnsi="Bookman Old Style" w:cs="Times New Roman"/>
          <w:b/>
          <w:bCs/>
          <w:color w:val="111111"/>
          <w:lang w:eastAsia="es-CL"/>
        </w:rPr>
        <w:t>es un país de “izquierda” o progresista comparado con Chile, en cuanto al trato que se le a la minería extranjera o privada en general</w:t>
      </w:r>
      <w:r w:rsidRPr="003943EC">
        <w:rPr>
          <w:rFonts w:ascii="Bookman Old Style" w:eastAsia="Times New Roman" w:hAnsi="Bookman Old Style" w:cs="Times New Roman"/>
          <w:color w:val="111111"/>
          <w:lang w:eastAsia="es-CL"/>
        </w:rPr>
        <w:t>. Es en todo caso un país más digno que Chile en cuanto a las regalías mineras.</w:t>
      </w:r>
    </w:p>
    <w:p w14:paraId="43AE4679" w14:textId="367783B2"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Para comprobar esta</w:t>
      </w:r>
      <w:r>
        <w:rPr>
          <w:rFonts w:ascii="Bookman Old Style" w:eastAsia="Times New Roman" w:hAnsi="Bookman Old Style" w:cs="Times New Roman"/>
          <w:color w:val="111111"/>
          <w:lang w:eastAsia="es-CL"/>
        </w:rPr>
        <w:t xml:space="preserve"> </w:t>
      </w:r>
      <w:r w:rsidRPr="003943EC">
        <w:rPr>
          <w:rFonts w:ascii="Bookman Old Style" w:eastAsia="Times New Roman" w:hAnsi="Bookman Old Style" w:cs="Times New Roman"/>
          <w:color w:val="111111"/>
          <w:lang w:eastAsia="es-CL"/>
        </w:rPr>
        <w:t>realidad, </w:t>
      </w:r>
      <w:r w:rsidRPr="003943EC">
        <w:rPr>
          <w:rFonts w:ascii="Bookman Old Style" w:eastAsia="Times New Roman" w:hAnsi="Bookman Old Style" w:cs="Times New Roman"/>
          <w:b/>
          <w:bCs/>
          <w:color w:val="111111"/>
          <w:lang w:eastAsia="es-CL"/>
        </w:rPr>
        <w:t xml:space="preserve">transcribiremos en su totalidad el artículo 16 de la Ley de Regalías de Colombia, </w:t>
      </w:r>
      <w:proofErr w:type="spellStart"/>
      <w:r w:rsidRPr="003943EC">
        <w:rPr>
          <w:rFonts w:ascii="Bookman Old Style" w:eastAsia="Times New Roman" w:hAnsi="Bookman Old Style" w:cs="Times New Roman"/>
          <w:b/>
          <w:bCs/>
          <w:color w:val="111111"/>
          <w:lang w:eastAsia="es-CL"/>
        </w:rPr>
        <w:t>N°</w:t>
      </w:r>
      <w:proofErr w:type="spellEnd"/>
      <w:r w:rsidRPr="003943EC">
        <w:rPr>
          <w:rFonts w:ascii="Bookman Old Style" w:eastAsia="Times New Roman" w:hAnsi="Bookman Old Style" w:cs="Times New Roman"/>
          <w:b/>
          <w:bCs/>
          <w:color w:val="111111"/>
          <w:lang w:eastAsia="es-CL"/>
        </w:rPr>
        <w:t xml:space="preserve"> 756 de 2002</w:t>
      </w:r>
      <w:r w:rsidRPr="003943EC">
        <w:rPr>
          <w:rFonts w:ascii="Bookman Old Style" w:eastAsia="Times New Roman" w:hAnsi="Bookman Old Style" w:cs="Times New Roman"/>
          <w:color w:val="111111"/>
          <w:lang w:eastAsia="es-CL"/>
        </w:rPr>
        <w:t xml:space="preserve">, que modifica la Ley </w:t>
      </w:r>
      <w:proofErr w:type="spellStart"/>
      <w:r w:rsidRPr="003943EC">
        <w:rPr>
          <w:rFonts w:ascii="Bookman Old Style" w:eastAsia="Times New Roman" w:hAnsi="Bookman Old Style" w:cs="Times New Roman"/>
          <w:color w:val="111111"/>
          <w:lang w:eastAsia="es-CL"/>
        </w:rPr>
        <w:t>N°</w:t>
      </w:r>
      <w:proofErr w:type="spellEnd"/>
      <w:r w:rsidRPr="003943EC">
        <w:rPr>
          <w:rFonts w:ascii="Bookman Old Style" w:eastAsia="Times New Roman" w:hAnsi="Bookman Old Style" w:cs="Times New Roman"/>
          <w:color w:val="111111"/>
          <w:lang w:eastAsia="es-CL"/>
        </w:rPr>
        <w:t xml:space="preserve"> 141 de 1994, que establece las tasas de estas regalías, ley que se puede encontrar con un buscador en internet.</w:t>
      </w:r>
    </w:p>
    <w:p w14:paraId="0FD2623B" w14:textId="7724AADE"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b/>
          <w:bCs/>
          <w:i/>
          <w:iCs/>
          <w:color w:val="111111"/>
          <w:lang w:eastAsia="es-CL"/>
        </w:rPr>
        <w:t>Artículo 16.</w:t>
      </w:r>
      <w:r w:rsidRPr="003943EC">
        <w:rPr>
          <w:rFonts w:ascii="Bookman Old Style" w:eastAsia="Times New Roman" w:hAnsi="Bookman Old Style" w:cs="Times New Roman"/>
          <w:i/>
          <w:iCs/>
          <w:color w:val="111111"/>
          <w:lang w:eastAsia="es-CL"/>
        </w:rPr>
        <w:t> Monto de las regalías. El artículo 16 de la Ley 141</w:t>
      </w:r>
      <w:r>
        <w:rPr>
          <w:rFonts w:ascii="Bookman Old Style" w:eastAsia="Times New Roman" w:hAnsi="Bookman Old Style" w:cs="Times New Roman"/>
          <w:i/>
          <w:iCs/>
          <w:color w:val="111111"/>
          <w:lang w:eastAsia="es-CL"/>
        </w:rPr>
        <w:t xml:space="preserve"> </w:t>
      </w:r>
      <w:r w:rsidRPr="003943EC">
        <w:rPr>
          <w:rFonts w:ascii="Bookman Old Style" w:eastAsia="Times New Roman" w:hAnsi="Bookman Old Style" w:cs="Times New Roman"/>
          <w:i/>
          <w:iCs/>
          <w:color w:val="111111"/>
          <w:lang w:eastAsia="es-CL"/>
        </w:rPr>
        <w:t>de 1994 quedará así:</w:t>
      </w:r>
    </w:p>
    <w:p w14:paraId="32B80772" w14:textId="220419D5" w:rsidR="008875FC" w:rsidRDefault="008875FC" w:rsidP="00C80ECA">
      <w:pPr>
        <w:shd w:val="clear" w:color="auto" w:fill="FFFFFF"/>
        <w:spacing w:before="120" w:after="120"/>
        <w:jc w:val="both"/>
        <w:rPr>
          <w:rFonts w:ascii="Bookman Old Style" w:eastAsia="Times New Roman" w:hAnsi="Bookman Old Style" w:cs="Times New Roman"/>
          <w:i/>
          <w:iCs/>
          <w:color w:val="111111"/>
          <w:lang w:eastAsia="es-CL"/>
        </w:rPr>
      </w:pPr>
      <w:r>
        <w:rPr>
          <w:rFonts w:ascii="Bookman Old Style" w:eastAsia="Times New Roman" w:hAnsi="Bookman Old Style" w:cs="Times New Roman"/>
          <w:i/>
          <w:iCs/>
          <w:noProof/>
          <w:color w:val="111111"/>
          <w:lang w:eastAsia="es-CL"/>
        </w:rPr>
        <w:drawing>
          <wp:anchor distT="0" distB="0" distL="114300" distR="114300" simplePos="0" relativeHeight="251677184" behindDoc="1" locked="0" layoutInCell="1" allowOverlap="1" wp14:anchorId="51F3B3EC" wp14:editId="65D2A49F">
            <wp:simplePos x="0" y="0"/>
            <wp:positionH relativeFrom="column">
              <wp:posOffset>31750</wp:posOffset>
            </wp:positionH>
            <wp:positionV relativeFrom="paragraph">
              <wp:posOffset>581025</wp:posOffset>
            </wp:positionV>
            <wp:extent cx="4507865" cy="3987165"/>
            <wp:effectExtent l="0" t="0" r="6985" b="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7865" cy="3987165"/>
                    </a:xfrm>
                    <a:prstGeom prst="rect">
                      <a:avLst/>
                    </a:prstGeom>
                    <a:noFill/>
                  </pic:spPr>
                </pic:pic>
              </a:graphicData>
            </a:graphic>
            <wp14:sizeRelH relativeFrom="page">
              <wp14:pctWidth>0</wp14:pctWidth>
            </wp14:sizeRelH>
            <wp14:sizeRelV relativeFrom="page">
              <wp14:pctHeight>0</wp14:pctHeight>
            </wp14:sizeRelV>
          </wp:anchor>
        </w:drawing>
      </w:r>
      <w:r w:rsidR="003943EC" w:rsidRPr="003943EC">
        <w:rPr>
          <w:rFonts w:ascii="Bookman Old Style" w:eastAsia="Times New Roman" w:hAnsi="Bookman Old Style" w:cs="Times New Roman"/>
          <w:i/>
          <w:iCs/>
          <w:color w:val="111111"/>
          <w:lang w:eastAsia="es-CL"/>
        </w:rPr>
        <w:t xml:space="preserve">“Artículo 16. </w:t>
      </w:r>
      <w:proofErr w:type="spellStart"/>
      <w:r w:rsidR="003943EC" w:rsidRPr="003943EC">
        <w:rPr>
          <w:rFonts w:ascii="Bookman Old Style" w:eastAsia="Times New Roman" w:hAnsi="Bookman Old Style" w:cs="Times New Roman"/>
          <w:i/>
          <w:iCs/>
          <w:color w:val="111111"/>
          <w:lang w:eastAsia="es-CL"/>
        </w:rPr>
        <w:t>Establécese</w:t>
      </w:r>
      <w:proofErr w:type="spellEnd"/>
      <w:r w:rsidR="003943EC" w:rsidRPr="003943EC">
        <w:rPr>
          <w:rFonts w:ascii="Bookman Old Style" w:eastAsia="Times New Roman" w:hAnsi="Bookman Old Style" w:cs="Times New Roman"/>
          <w:i/>
          <w:iCs/>
          <w:color w:val="111111"/>
          <w:lang w:eastAsia="es-CL"/>
        </w:rPr>
        <w:t xml:space="preserve"> como regalía por la explotación de recursos naturales no renovables de propiedad nacional, </w:t>
      </w:r>
      <w:r w:rsidR="003943EC" w:rsidRPr="003943EC">
        <w:rPr>
          <w:rFonts w:ascii="Bookman Old Style" w:eastAsia="Times New Roman" w:hAnsi="Bookman Old Style" w:cs="Times New Roman"/>
          <w:b/>
          <w:bCs/>
          <w:i/>
          <w:iCs/>
          <w:color w:val="111111"/>
          <w:lang w:eastAsia="es-CL"/>
        </w:rPr>
        <w:t>sobre el valor de la producción en boca o borde de mina</w:t>
      </w:r>
      <w:r w:rsidR="003943EC" w:rsidRPr="003943EC">
        <w:rPr>
          <w:rFonts w:ascii="Bookman Old Style" w:eastAsia="Times New Roman" w:hAnsi="Bookman Old Style" w:cs="Times New Roman"/>
          <w:i/>
          <w:iCs/>
          <w:color w:val="111111"/>
          <w:lang w:eastAsia="es-CL"/>
        </w:rPr>
        <w:t> o pozo, según corresponda, el porcentaje que resulte de aplicar la siguiente tabla:</w:t>
      </w:r>
    </w:p>
    <w:p w14:paraId="37035FCF" w14:textId="778D12FB" w:rsidR="003943EC" w:rsidRDefault="003943EC" w:rsidP="00C80ECA">
      <w:pPr>
        <w:shd w:val="clear" w:color="auto" w:fill="FFFFFF"/>
        <w:spacing w:before="120" w:after="120"/>
        <w:jc w:val="both"/>
        <w:rPr>
          <w:rFonts w:ascii="Bookman Old Style" w:eastAsia="Times New Roman" w:hAnsi="Bookman Old Style" w:cs="Times New Roman"/>
          <w:i/>
          <w:iCs/>
          <w:color w:val="111111"/>
          <w:lang w:eastAsia="es-CL"/>
        </w:rPr>
      </w:pPr>
      <w:proofErr w:type="spellStart"/>
      <w:r w:rsidRPr="003943EC">
        <w:rPr>
          <w:rFonts w:ascii="Bookman Old Style" w:eastAsia="Times New Roman" w:hAnsi="Bookman Old Style" w:cs="Times New Roman"/>
          <w:i/>
          <w:iCs/>
          <w:color w:val="111111"/>
          <w:lang w:eastAsia="es-CL"/>
        </w:rPr>
        <w:lastRenderedPageBreak/>
        <w:t>Establécese</w:t>
      </w:r>
      <w:proofErr w:type="spellEnd"/>
      <w:r w:rsidRPr="003943EC">
        <w:rPr>
          <w:rFonts w:ascii="Bookman Old Style" w:eastAsia="Times New Roman" w:hAnsi="Bookman Old Style" w:cs="Times New Roman"/>
          <w:i/>
          <w:iCs/>
          <w:color w:val="111111"/>
          <w:lang w:eastAsia="es-CL"/>
        </w:rPr>
        <w:t xml:space="preserve"> como regalía por la explotación de hidrocarburos de propiedad nacional sobre el valor de la producción en boca de pozo, el porcentaje que resulte de aplicar la siguiente escala:</w:t>
      </w:r>
    </w:p>
    <w:p w14:paraId="64FD6680" w14:textId="29147CCB"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b/>
          <w:bCs/>
          <w:color w:val="111111"/>
          <w:sz w:val="22"/>
          <w:szCs w:val="22"/>
        </w:rPr>
        <w:t>Producción diaria promedio mes                                                            Porcentaje</w:t>
      </w:r>
    </w:p>
    <w:p w14:paraId="68521763" w14:textId="29DEE44C"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Para una producción igual o menor a 5 KBPD                                                          8%</w:t>
      </w:r>
    </w:p>
    <w:p w14:paraId="30581778" w14:textId="76F84498"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Para una producción mayor a 5 KBPD e inferior o igual a 125 KBPD                       X%</w:t>
      </w:r>
    </w:p>
    <w:p w14:paraId="3E891CA7" w14:textId="382EFE50"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 xml:space="preserve">Donde X = 8 + (producción KBPD – 5 </w:t>
      </w:r>
      <w:proofErr w:type="gramStart"/>
      <w:r w:rsidRPr="003F4E58">
        <w:rPr>
          <w:rStyle w:val="nfasis"/>
          <w:rFonts w:ascii="Bookman Old Style" w:hAnsi="Bookman Old Style"/>
          <w:color w:val="111111"/>
          <w:sz w:val="22"/>
          <w:szCs w:val="22"/>
        </w:rPr>
        <w:t>KBPD)*</w:t>
      </w:r>
      <w:proofErr w:type="gramEnd"/>
      <w:r w:rsidRPr="003F4E58">
        <w:rPr>
          <w:rStyle w:val="nfasis"/>
          <w:rFonts w:ascii="Bookman Old Style" w:hAnsi="Bookman Old Style"/>
          <w:color w:val="111111"/>
          <w:sz w:val="22"/>
          <w:szCs w:val="22"/>
        </w:rPr>
        <w:t xml:space="preserve"> (0.10)</w:t>
      </w:r>
    </w:p>
    <w:p w14:paraId="2D1D0624" w14:textId="6D81897C"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Para una producción mayor a 125 KBPD e inferior o igual a 400 KBPD                   20%</w:t>
      </w:r>
    </w:p>
    <w:p w14:paraId="4D8153E4" w14:textId="7EFD5DA2"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Para una producción mayor a 400 KBPD e inferior o igual a 600 KBPD      </w:t>
      </w:r>
      <w:r>
        <w:rPr>
          <w:rStyle w:val="nfasis"/>
          <w:rFonts w:ascii="Bookman Old Style" w:hAnsi="Bookman Old Style"/>
          <w:color w:val="111111"/>
          <w:sz w:val="22"/>
          <w:szCs w:val="22"/>
        </w:rPr>
        <w:t xml:space="preserve">             </w:t>
      </w:r>
      <w:r w:rsidRPr="003F4E58">
        <w:rPr>
          <w:rStyle w:val="nfasis"/>
          <w:rFonts w:ascii="Bookman Old Style" w:hAnsi="Bookman Old Style"/>
          <w:color w:val="111111"/>
          <w:sz w:val="22"/>
          <w:szCs w:val="22"/>
        </w:rPr>
        <w:t xml:space="preserve"> Y%</w:t>
      </w:r>
    </w:p>
    <w:p w14:paraId="757C303C" w14:textId="2A1B50FE"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 xml:space="preserve">Donde Y = 20 + (Producción KBPD – 400 </w:t>
      </w:r>
      <w:proofErr w:type="gramStart"/>
      <w:r w:rsidRPr="003F4E58">
        <w:rPr>
          <w:rStyle w:val="nfasis"/>
          <w:rFonts w:ascii="Bookman Old Style" w:hAnsi="Bookman Old Style"/>
          <w:color w:val="111111"/>
          <w:sz w:val="22"/>
          <w:szCs w:val="22"/>
        </w:rPr>
        <w:t>KBPD)*</w:t>
      </w:r>
      <w:proofErr w:type="gramEnd"/>
      <w:r w:rsidRPr="003F4E58">
        <w:rPr>
          <w:rStyle w:val="nfasis"/>
          <w:rFonts w:ascii="Bookman Old Style" w:hAnsi="Bookman Old Style"/>
          <w:color w:val="111111"/>
          <w:sz w:val="22"/>
          <w:szCs w:val="22"/>
        </w:rPr>
        <w:t xml:space="preserve"> (0.025)</w:t>
      </w:r>
    </w:p>
    <w:p w14:paraId="453B238B" w14:textId="1C450482" w:rsidR="003F4E58" w:rsidRPr="003F4E58" w:rsidRDefault="003F4E58" w:rsidP="00C80ECA">
      <w:pPr>
        <w:pStyle w:val="NormalWeb"/>
        <w:shd w:val="clear" w:color="auto" w:fill="FFFFFF"/>
        <w:spacing w:before="120" w:beforeAutospacing="0" w:after="120" w:afterAutospacing="0"/>
        <w:jc w:val="both"/>
        <w:rPr>
          <w:rFonts w:ascii="Bookman Old Style" w:hAnsi="Bookman Old Style"/>
          <w:color w:val="111111"/>
          <w:sz w:val="22"/>
          <w:szCs w:val="22"/>
        </w:rPr>
      </w:pPr>
      <w:r w:rsidRPr="003F4E58">
        <w:rPr>
          <w:rStyle w:val="nfasis"/>
          <w:rFonts w:ascii="Bookman Old Style" w:hAnsi="Bookman Old Style"/>
          <w:color w:val="111111"/>
          <w:sz w:val="22"/>
          <w:szCs w:val="22"/>
        </w:rPr>
        <w:t>Para una producción mayor a 600 KBPD                                                                  25% </w:t>
      </w:r>
    </w:p>
    <w:p w14:paraId="2C340489" w14:textId="78276353"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Parágrafo 1°. Para todos los efectos, se entiende por “producción KBPD” la producción diaria promedio mes de un campo, expresada en miles de barriles por día. Para el cálculo de las regalías aplicadas a la explotación de hidrocarburos gaseosos, se aplicará la siguiente equivalencia:</w:t>
      </w:r>
    </w:p>
    <w:p w14:paraId="629ECB0B" w14:textId="6EAB1609"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Un (1) barril de petróleo equivale a cinco mil setecientos (5.700) pies cúbicos de gas.</w:t>
      </w:r>
    </w:p>
    <w:p w14:paraId="00E04595" w14:textId="5A1DA932"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El régimen de regalías para proyectos de explotación de gas quedará así:</w:t>
      </w:r>
    </w:p>
    <w:p w14:paraId="36DA1DC7" w14:textId="047F62DD"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Para explotación en campos ubicados en tierra firme y costa afuera hasta a una profundidad inferior o igual a mil (1.000) pies, se aplicará el ochenta por ciento (80%) de las regalías equivalentes para la explotación de crudo; para explotación en campos ubicados costa afuera a una profundidad superior a mil (1.000) pies, se aplicará una regalía del sesenta por ciento (60%) de las regalías equivalentes a la explotación de crudo”.</w:t>
      </w:r>
    </w:p>
    <w:p w14:paraId="68B51B0E"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b/>
          <w:bCs/>
          <w:color w:val="111111"/>
          <w:lang w:eastAsia="es-CL"/>
        </w:rPr>
        <w:t>Colombia está entre los 10 más grandes exportadores de carbón y níquel</w:t>
      </w:r>
      <w:r w:rsidRPr="003943EC">
        <w:rPr>
          <w:rFonts w:ascii="Bookman Old Style" w:eastAsia="Times New Roman" w:hAnsi="Bookman Old Style" w:cs="Times New Roman"/>
          <w:color w:val="111111"/>
          <w:lang w:eastAsia="es-CL"/>
        </w:rPr>
        <w:t>, y por eso la regalía es más elevada que en el cobre, donde su producción es marginal, </w:t>
      </w:r>
      <w:r w:rsidRPr="003943EC">
        <w:rPr>
          <w:rFonts w:ascii="Bookman Old Style" w:eastAsia="Times New Roman" w:hAnsi="Bookman Old Style" w:cs="Times New Roman"/>
          <w:b/>
          <w:bCs/>
          <w:color w:val="111111"/>
          <w:lang w:eastAsia="es-CL"/>
        </w:rPr>
        <w:t>pero también en un gran productor de petróleo, y por eso esta regalía puede alcanzar hasta 25% en función de la cantidad producida</w:t>
      </w:r>
      <w:r w:rsidRPr="003943EC">
        <w:rPr>
          <w:rFonts w:ascii="Bookman Old Style" w:eastAsia="Times New Roman" w:hAnsi="Bookman Old Style" w:cs="Times New Roman"/>
          <w:color w:val="111111"/>
          <w:lang w:eastAsia="es-CL"/>
        </w:rPr>
        <w:t>, sin embargo, aquí en Chile, </w:t>
      </w:r>
      <w:r w:rsidRPr="003943EC">
        <w:rPr>
          <w:rFonts w:ascii="Bookman Old Style" w:eastAsia="Times New Roman" w:hAnsi="Bookman Old Style" w:cs="Times New Roman"/>
          <w:b/>
          <w:bCs/>
          <w:color w:val="111111"/>
          <w:lang w:eastAsia="es-CL"/>
        </w:rPr>
        <w:t xml:space="preserve">las mineras y sus </w:t>
      </w:r>
      <w:proofErr w:type="spellStart"/>
      <w:r w:rsidRPr="003943EC">
        <w:rPr>
          <w:rFonts w:ascii="Bookman Old Style" w:eastAsia="Times New Roman" w:hAnsi="Bookman Old Style" w:cs="Times New Roman"/>
          <w:b/>
          <w:bCs/>
          <w:color w:val="111111"/>
          <w:lang w:eastAsia="es-CL"/>
        </w:rPr>
        <w:t>lobbystas</w:t>
      </w:r>
      <w:proofErr w:type="spellEnd"/>
      <w:r w:rsidRPr="003943EC">
        <w:rPr>
          <w:rFonts w:ascii="Bookman Old Style" w:eastAsia="Times New Roman" w:hAnsi="Bookman Old Style" w:cs="Times New Roman"/>
          <w:b/>
          <w:bCs/>
          <w:color w:val="111111"/>
          <w:lang w:eastAsia="es-CL"/>
        </w:rPr>
        <w:t xml:space="preserve"> ponen el grito en el cielo y lloran, porque se les va a aplicar una regalía de apenas 3 % en el cobre</w:t>
      </w:r>
      <w:r w:rsidRPr="003943EC">
        <w:rPr>
          <w:rFonts w:ascii="Bookman Old Style" w:eastAsia="Times New Roman" w:hAnsi="Bookman Old Style" w:cs="Times New Roman"/>
          <w:color w:val="111111"/>
          <w:lang w:eastAsia="es-CL"/>
        </w:rPr>
        <w:t>, siendo que Chile es de lejos el primer productor y exportador mundial de cobre, y primero o segundo en el litio, y por estas últimas razones, el royalty en Chile debiera ser el más elevado del mundo.</w:t>
      </w:r>
    </w:p>
    <w:p w14:paraId="06DBE37F"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Pero </w:t>
      </w:r>
      <w:r w:rsidRPr="003943EC">
        <w:rPr>
          <w:rFonts w:ascii="Bookman Old Style" w:eastAsia="Times New Roman" w:hAnsi="Bookman Old Style" w:cs="Times New Roman"/>
          <w:b/>
          <w:bCs/>
          <w:color w:val="111111"/>
          <w:lang w:eastAsia="es-CL"/>
        </w:rPr>
        <w:t>la derechista y neoliberal Colombia, le da otro gran ejemplo a Chile</w:t>
      </w:r>
      <w:r w:rsidRPr="003943EC">
        <w:rPr>
          <w:rFonts w:ascii="Bookman Old Style" w:eastAsia="Times New Roman" w:hAnsi="Bookman Old Style" w:cs="Times New Roman"/>
          <w:color w:val="111111"/>
          <w:lang w:eastAsia="es-CL"/>
        </w:rPr>
        <w:t>, porque </w:t>
      </w:r>
      <w:r w:rsidRPr="003943EC">
        <w:rPr>
          <w:rFonts w:ascii="Bookman Old Style" w:eastAsia="Times New Roman" w:hAnsi="Bookman Old Style" w:cs="Times New Roman"/>
          <w:b/>
          <w:bCs/>
          <w:color w:val="111111"/>
          <w:lang w:eastAsia="es-CL"/>
        </w:rPr>
        <w:t xml:space="preserve">una gran parte de las regalías captadas por el </w:t>
      </w:r>
      <w:proofErr w:type="gramStart"/>
      <w:r w:rsidRPr="003943EC">
        <w:rPr>
          <w:rFonts w:ascii="Bookman Old Style" w:eastAsia="Times New Roman" w:hAnsi="Bookman Old Style" w:cs="Times New Roman"/>
          <w:b/>
          <w:bCs/>
          <w:color w:val="111111"/>
          <w:lang w:eastAsia="es-CL"/>
        </w:rPr>
        <w:t>Estado,</w:t>
      </w:r>
      <w:proofErr w:type="gramEnd"/>
      <w:r w:rsidRPr="003943EC">
        <w:rPr>
          <w:rFonts w:ascii="Bookman Old Style" w:eastAsia="Times New Roman" w:hAnsi="Bookman Old Style" w:cs="Times New Roman"/>
          <w:b/>
          <w:bCs/>
          <w:color w:val="111111"/>
          <w:lang w:eastAsia="es-CL"/>
        </w:rPr>
        <w:t xml:space="preserve"> es repartida a las regiones y comunas </w:t>
      </w:r>
      <w:r w:rsidRPr="003943EC">
        <w:rPr>
          <w:rFonts w:ascii="Bookman Old Style" w:eastAsia="Times New Roman" w:hAnsi="Bookman Old Style" w:cs="Times New Roman"/>
          <w:color w:val="111111"/>
          <w:lang w:eastAsia="es-CL"/>
        </w:rPr>
        <w:t xml:space="preserve">donde se extraen los diferentes productos mineros, como lo establece el art. 6° de la Ley de la Ley </w:t>
      </w:r>
      <w:proofErr w:type="spellStart"/>
      <w:r w:rsidRPr="003943EC">
        <w:rPr>
          <w:rFonts w:ascii="Bookman Old Style" w:eastAsia="Times New Roman" w:hAnsi="Bookman Old Style" w:cs="Times New Roman"/>
          <w:color w:val="111111"/>
          <w:lang w:eastAsia="es-CL"/>
        </w:rPr>
        <w:t>N°</w:t>
      </w:r>
      <w:proofErr w:type="spellEnd"/>
      <w:r w:rsidRPr="003943EC">
        <w:rPr>
          <w:rFonts w:ascii="Bookman Old Style" w:eastAsia="Times New Roman" w:hAnsi="Bookman Old Style" w:cs="Times New Roman"/>
          <w:color w:val="111111"/>
          <w:lang w:eastAsia="es-CL"/>
        </w:rPr>
        <w:t xml:space="preserve"> 756.</w:t>
      </w:r>
    </w:p>
    <w:p w14:paraId="3CB338D5"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ARTÍCULO 6°. El parágrafo del artículo 5°. de la Ley 141 de 1994 quedará así:</w:t>
      </w:r>
    </w:p>
    <w:p w14:paraId="429817F9"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i/>
          <w:iCs/>
          <w:color w:val="111111"/>
          <w:lang w:eastAsia="es-CL"/>
        </w:rPr>
        <w:t>«Parágrafo. La Comisión Nacional de Regalías asignará el quince punto cinco por ciento (15.5%) de los recaudos anuales del Fondo, para proyectos presentados por las entidades territoriales de acuerdo con lo establecido en esta ley y con los fines exclusivos que prescribe el artículo 361 de la Constitución Política, distribuidos así:</w:t>
      </w:r>
    </w:p>
    <w:p w14:paraId="5FDC8811"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En siguientes artículos de esta ley, se dan los porcentajes en que ese 15,5% de las regalías mineras que percibe el Estado, se reparten en las diferentes regiones productoras de minerales, según la importancia de su producción minera y de hidrocarburos. </w:t>
      </w:r>
      <w:r w:rsidRPr="003943EC">
        <w:rPr>
          <w:rFonts w:ascii="Bookman Old Style" w:eastAsia="Times New Roman" w:hAnsi="Bookman Old Style" w:cs="Times New Roman"/>
          <w:b/>
          <w:bCs/>
          <w:color w:val="111111"/>
          <w:lang w:eastAsia="es-CL"/>
        </w:rPr>
        <w:t>Todo esto deja en evidencia que Colombia, en materia minera nos lleva décadas de adelanto, porque recién nuestro Congreso está legislando para posiblemente aprobar una regalía minera</w:t>
      </w:r>
      <w:r w:rsidRPr="003943EC">
        <w:rPr>
          <w:rFonts w:ascii="Bookman Old Style" w:eastAsia="Times New Roman" w:hAnsi="Bookman Old Style" w:cs="Times New Roman"/>
          <w:color w:val="111111"/>
          <w:lang w:eastAsia="es-CL"/>
        </w:rPr>
        <w:t xml:space="preserve">, que llamamos royalty por nuestro sometimiento cultural al país del norte, mientras </w:t>
      </w:r>
      <w:proofErr w:type="gramStart"/>
      <w:r w:rsidRPr="003943EC">
        <w:rPr>
          <w:rFonts w:ascii="Bookman Old Style" w:eastAsia="Times New Roman" w:hAnsi="Bookman Old Style" w:cs="Times New Roman"/>
          <w:color w:val="111111"/>
          <w:lang w:eastAsia="es-CL"/>
        </w:rPr>
        <w:t>que</w:t>
      </w:r>
      <w:proofErr w:type="gramEnd"/>
      <w:r w:rsidRPr="003943EC">
        <w:rPr>
          <w:rFonts w:ascii="Bookman Old Style" w:eastAsia="Times New Roman" w:hAnsi="Bookman Old Style" w:cs="Times New Roman"/>
          <w:color w:val="111111"/>
          <w:lang w:eastAsia="es-CL"/>
        </w:rPr>
        <w:t xml:space="preserve"> en Colombia, la primera ley sobre regalías mineras, la Ley </w:t>
      </w:r>
      <w:proofErr w:type="spellStart"/>
      <w:r w:rsidRPr="003943EC">
        <w:rPr>
          <w:rFonts w:ascii="Bookman Old Style" w:eastAsia="Times New Roman" w:hAnsi="Bookman Old Style" w:cs="Times New Roman"/>
          <w:color w:val="111111"/>
          <w:lang w:eastAsia="es-CL"/>
        </w:rPr>
        <w:t>N°</w:t>
      </w:r>
      <w:proofErr w:type="spellEnd"/>
      <w:r w:rsidRPr="003943EC">
        <w:rPr>
          <w:rFonts w:ascii="Bookman Old Style" w:eastAsia="Times New Roman" w:hAnsi="Bookman Old Style" w:cs="Times New Roman"/>
          <w:color w:val="111111"/>
          <w:lang w:eastAsia="es-CL"/>
        </w:rPr>
        <w:t xml:space="preserve"> 141, se aprobó en 1994, y fue modificada por la Ley </w:t>
      </w:r>
      <w:proofErr w:type="spellStart"/>
      <w:r w:rsidRPr="003943EC">
        <w:rPr>
          <w:rFonts w:ascii="Bookman Old Style" w:eastAsia="Times New Roman" w:hAnsi="Bookman Old Style" w:cs="Times New Roman"/>
          <w:color w:val="111111"/>
          <w:lang w:eastAsia="es-CL"/>
        </w:rPr>
        <w:t>N°</w:t>
      </w:r>
      <w:proofErr w:type="spellEnd"/>
      <w:r w:rsidRPr="003943EC">
        <w:rPr>
          <w:rFonts w:ascii="Bookman Old Style" w:eastAsia="Times New Roman" w:hAnsi="Bookman Old Style" w:cs="Times New Roman"/>
          <w:color w:val="111111"/>
          <w:lang w:eastAsia="es-CL"/>
        </w:rPr>
        <w:t xml:space="preserve"> 756 en el año 2002.</w:t>
      </w:r>
    </w:p>
    <w:p w14:paraId="2A5CE17F" w14:textId="77777777"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lastRenderedPageBreak/>
        <w:t>Además, </w:t>
      </w:r>
      <w:r w:rsidRPr="003943EC">
        <w:rPr>
          <w:rFonts w:ascii="Bookman Old Style" w:eastAsia="Times New Roman" w:hAnsi="Bookman Old Style" w:cs="Times New Roman"/>
          <w:b/>
          <w:bCs/>
          <w:color w:val="111111"/>
          <w:lang w:eastAsia="es-CL"/>
        </w:rPr>
        <w:t>el proyecto de “royalty” que ahora se discute en el Senado, tiene otro defecto. No se puede aplicar hasta el año 2024, porque si bien las mineras renunciaron a la invariabilidad del artículo 11 bis del DL 600, al aprobarse la Ley 20.026 de 2005, sin embargo, esta ley les otorgó una nueva invariabilidad sobre el Impuesto Específico a la Minería</w:t>
      </w:r>
      <w:r w:rsidRPr="003943EC">
        <w:rPr>
          <w:rFonts w:ascii="Bookman Old Style" w:eastAsia="Times New Roman" w:hAnsi="Bookman Old Style" w:cs="Times New Roman"/>
          <w:color w:val="111111"/>
          <w:lang w:eastAsia="es-CL"/>
        </w:rPr>
        <w:t>, pero en una modificación final en el Senado, se agregó la siguiente frase: «</w:t>
      </w:r>
      <w:r w:rsidRPr="003943EC">
        <w:rPr>
          <w:rFonts w:ascii="Bookman Old Style" w:eastAsia="Times New Roman" w:hAnsi="Bookman Old Style" w:cs="Times New Roman"/>
          <w:i/>
          <w:iCs/>
          <w:color w:val="111111"/>
          <w:lang w:eastAsia="es-CL"/>
        </w:rPr>
        <w:t>y agréguese al no 2) del artículo 2°: incluidas regalías, cánones o cargas similares».</w:t>
      </w:r>
    </w:p>
    <w:p w14:paraId="48439F80" w14:textId="7508A2AE"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Esta anodina frase incluyó, además, la invariabilidad en las patentes mineras y en </w:t>
      </w:r>
      <w:r w:rsidRPr="003943EC">
        <w:rPr>
          <w:rFonts w:ascii="Bookman Old Style" w:eastAsia="Times New Roman" w:hAnsi="Bookman Old Style" w:cs="Times New Roman"/>
          <w:b/>
          <w:bCs/>
          <w:color w:val="111111"/>
          <w:lang w:eastAsia="es-CL"/>
        </w:rPr>
        <w:t>una eventual futura y verdadera regalía minera,</w:t>
      </w:r>
      <w:r w:rsidRPr="003943EC">
        <w:rPr>
          <w:rFonts w:ascii="Bookman Old Style" w:eastAsia="Times New Roman" w:hAnsi="Bookman Old Style" w:cs="Times New Roman"/>
          <w:color w:val="111111"/>
          <w:lang w:eastAsia="es-CL"/>
        </w:rPr>
        <w:t xml:space="preserve"> como la que ahora se discute en el Congreso Nacional, invariabilidad que para la mayor parte de las grandes mineras termina el año 2023, otras el 2026 e incluso el 2032, </w:t>
      </w:r>
      <w:proofErr w:type="gramStart"/>
      <w:r w:rsidRPr="003943EC">
        <w:rPr>
          <w:rFonts w:ascii="Bookman Old Style" w:eastAsia="Times New Roman" w:hAnsi="Bookman Old Style" w:cs="Times New Roman"/>
          <w:color w:val="111111"/>
          <w:lang w:eastAsia="es-CL"/>
        </w:rPr>
        <w:t>y</w:t>
      </w:r>
      <w:proofErr w:type="gramEnd"/>
      <w:r w:rsidRPr="003943EC">
        <w:rPr>
          <w:rFonts w:ascii="Bookman Old Style" w:eastAsia="Times New Roman" w:hAnsi="Bookman Old Style" w:cs="Times New Roman"/>
          <w:color w:val="111111"/>
          <w:lang w:eastAsia="es-CL"/>
        </w:rPr>
        <w:t xml:space="preserve"> en consecuencia, el proyecto de royalty solo se podrá aplicar a partir del año 2024, lo que no puede ser modificado por ley, porque son contratos firmados entre el Estado y las empresa mineras.</w:t>
      </w:r>
    </w:p>
    <w:p w14:paraId="654ACD96" w14:textId="6FF14FFD"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Sin embargo, la actual invariabilidad tributaria </w:t>
      </w:r>
      <w:r w:rsidRPr="003943EC">
        <w:rPr>
          <w:rFonts w:ascii="Bookman Old Style" w:eastAsia="Times New Roman" w:hAnsi="Bookman Old Style" w:cs="Times New Roman"/>
          <w:b/>
          <w:bCs/>
          <w:color w:val="111111"/>
          <w:lang w:eastAsia="es-CL"/>
        </w:rPr>
        <w:t>dejó fuera la invariabilidad sobre el Impuesto a la Renta.</w:t>
      </w:r>
      <w:r w:rsidRPr="003943EC">
        <w:rPr>
          <w:rFonts w:ascii="Bookman Old Style" w:eastAsia="Times New Roman" w:hAnsi="Bookman Old Style" w:cs="Times New Roman"/>
          <w:color w:val="111111"/>
          <w:lang w:eastAsia="es-CL"/>
        </w:rPr>
        <w:t> Por lo tanto, </w:t>
      </w:r>
      <w:r w:rsidRPr="003943EC">
        <w:rPr>
          <w:rFonts w:ascii="Bookman Old Style" w:eastAsia="Times New Roman" w:hAnsi="Bookman Old Style" w:cs="Times New Roman"/>
          <w:b/>
          <w:bCs/>
          <w:color w:val="111111"/>
          <w:lang w:eastAsia="es-CL"/>
        </w:rPr>
        <w:t>no es necesario esperar hasta el año 2024, para modificar el Impuesto a la Renta de las Mineras</w:t>
      </w:r>
      <w:r w:rsidRPr="003943EC">
        <w:rPr>
          <w:rFonts w:ascii="Bookman Old Style" w:eastAsia="Times New Roman" w:hAnsi="Bookman Old Style" w:cs="Times New Roman"/>
          <w:color w:val="111111"/>
          <w:lang w:eastAsia="es-CL"/>
        </w:rPr>
        <w:t xml:space="preserve">, y se pueda aplicar inmediatamente de promulgado, puesto que es ahora </w:t>
      </w:r>
      <w:proofErr w:type="gramStart"/>
      <w:r w:rsidRPr="003943EC">
        <w:rPr>
          <w:rFonts w:ascii="Bookman Old Style" w:eastAsia="Times New Roman" w:hAnsi="Bookman Old Style" w:cs="Times New Roman"/>
          <w:color w:val="111111"/>
          <w:lang w:eastAsia="es-CL"/>
        </w:rPr>
        <w:t>que</w:t>
      </w:r>
      <w:proofErr w:type="gramEnd"/>
      <w:r w:rsidRPr="003943EC">
        <w:rPr>
          <w:rFonts w:ascii="Bookman Old Style" w:eastAsia="Times New Roman" w:hAnsi="Bookman Old Style" w:cs="Times New Roman"/>
          <w:color w:val="111111"/>
          <w:lang w:eastAsia="es-CL"/>
        </w:rPr>
        <w:t xml:space="preserve"> Chile necesita recursos para paliar los efectos de la pandemia y no seguir endeudando al Estado en organismos internacionales.</w:t>
      </w:r>
    </w:p>
    <w:p w14:paraId="6AD6D7E6" w14:textId="680A20EC"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Pero para que dicha modificación pueda recaudar mayores tributos, </w:t>
      </w:r>
      <w:r w:rsidRPr="003943EC">
        <w:rPr>
          <w:rFonts w:ascii="Bookman Old Style" w:eastAsia="Times New Roman" w:hAnsi="Bookman Old Style" w:cs="Times New Roman"/>
          <w:b/>
          <w:bCs/>
          <w:color w:val="111111"/>
          <w:lang w:eastAsia="es-CL"/>
        </w:rPr>
        <w:t>es necesario cambiar la base tributable, de renta efectiva a renta presunta</w:t>
      </w:r>
      <w:r w:rsidRPr="003943EC">
        <w:rPr>
          <w:rFonts w:ascii="Bookman Old Style" w:eastAsia="Times New Roman" w:hAnsi="Bookman Old Style" w:cs="Times New Roman"/>
          <w:color w:val="111111"/>
          <w:lang w:eastAsia="es-CL"/>
        </w:rPr>
        <w:t>, como era hasta 1990, cuando con la Ley 18.985 </w:t>
      </w:r>
      <w:r w:rsidRPr="003943EC">
        <w:rPr>
          <w:rFonts w:ascii="Bookman Old Style" w:eastAsia="Times New Roman" w:hAnsi="Bookman Old Style" w:cs="Times New Roman"/>
          <w:b/>
          <w:bCs/>
          <w:color w:val="111111"/>
          <w:lang w:eastAsia="es-CL"/>
        </w:rPr>
        <w:t>se excluyó a la gran minería,</w:t>
      </w:r>
      <w:r w:rsidRPr="003943EC">
        <w:rPr>
          <w:rFonts w:ascii="Bookman Old Style" w:eastAsia="Times New Roman" w:hAnsi="Bookman Old Style" w:cs="Times New Roman"/>
          <w:color w:val="111111"/>
          <w:lang w:eastAsia="es-CL"/>
        </w:rPr>
        <w:t> y se aplica hasta hoy la renta presunta se aplica solo a la pequeña minería, en el art. 34 del DL 824.</w:t>
      </w:r>
    </w:p>
    <w:p w14:paraId="4F259262" w14:textId="5BC0C136" w:rsidR="003943EC" w:rsidRPr="003943EC" w:rsidRDefault="003943EC" w:rsidP="00C80ECA">
      <w:pPr>
        <w:shd w:val="clear" w:color="auto" w:fill="FFFFFF"/>
        <w:spacing w:before="120" w:after="12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No se trata de aumentar el Impuesto a la Renta, este no cambia, </w:t>
      </w:r>
      <w:r w:rsidRPr="003943EC">
        <w:rPr>
          <w:rFonts w:ascii="Bookman Old Style" w:eastAsia="Times New Roman" w:hAnsi="Bookman Old Style" w:cs="Times New Roman"/>
          <w:b/>
          <w:bCs/>
          <w:color w:val="111111"/>
          <w:lang w:eastAsia="es-CL"/>
        </w:rPr>
        <w:t>solo cambia su base, desde renta efectiva (es decir la ganancia o utilidad), que existe en la actualidad, a renta presunta, como existió para la gran minería hasta 1990</w:t>
      </w:r>
      <w:r w:rsidRPr="003943EC">
        <w:rPr>
          <w:rFonts w:ascii="Bookman Old Style" w:eastAsia="Times New Roman" w:hAnsi="Bookman Old Style" w:cs="Times New Roman"/>
          <w:color w:val="111111"/>
          <w:lang w:eastAsia="es-CL"/>
        </w:rPr>
        <w:t>. La Renta Presunta en base a las ventas, sin disminución de costos, es lo que hoy se aplica a la pequeña minería, con aumento gradual en función del aumento del precio del cobre, y con mayor razón se puede aplicar a las grandes mineras. </w:t>
      </w:r>
      <w:r w:rsidRPr="003943EC">
        <w:rPr>
          <w:rFonts w:ascii="Bookman Old Style" w:eastAsia="Times New Roman" w:hAnsi="Bookman Old Style" w:cs="Times New Roman"/>
          <w:b/>
          <w:bCs/>
          <w:color w:val="111111"/>
          <w:lang w:eastAsia="es-CL"/>
        </w:rPr>
        <w:t xml:space="preserve">Las grandes mineras son expertas en evadir las utilidades y por eso no pagan o casi no pagan Impuesto a la Renta, pero si vuelven a pagar en base a las ventas, igual pueden evadir en el valor de los concentrados, pero eso sería muy poco </w:t>
      </w:r>
      <w:proofErr w:type="gramStart"/>
      <w:r w:rsidRPr="003943EC">
        <w:rPr>
          <w:rFonts w:ascii="Bookman Old Style" w:eastAsia="Times New Roman" w:hAnsi="Bookman Old Style" w:cs="Times New Roman"/>
          <w:b/>
          <w:bCs/>
          <w:color w:val="111111"/>
          <w:lang w:eastAsia="es-CL"/>
        </w:rPr>
        <w:t>en relación a</w:t>
      </w:r>
      <w:proofErr w:type="gramEnd"/>
      <w:r w:rsidRPr="003943EC">
        <w:rPr>
          <w:rFonts w:ascii="Bookman Old Style" w:eastAsia="Times New Roman" w:hAnsi="Bookman Old Style" w:cs="Times New Roman"/>
          <w:b/>
          <w:bCs/>
          <w:color w:val="111111"/>
          <w:lang w:eastAsia="es-CL"/>
        </w:rPr>
        <w:t xml:space="preserve"> la evasión que realizan descaradamente en la actualidad</w:t>
      </w:r>
      <w:r w:rsidRPr="003943EC">
        <w:rPr>
          <w:rFonts w:ascii="Bookman Old Style" w:eastAsia="Times New Roman" w:hAnsi="Bookman Old Style" w:cs="Times New Roman"/>
          <w:color w:val="111111"/>
          <w:lang w:eastAsia="es-CL"/>
        </w:rPr>
        <w:t>.</w:t>
      </w:r>
    </w:p>
    <w:p w14:paraId="181FFDF5" w14:textId="0CC12636" w:rsidR="00C80ECA" w:rsidRDefault="008875FC" w:rsidP="00C80ECA">
      <w:pPr>
        <w:shd w:val="clear" w:color="auto" w:fill="FFFFFF"/>
        <w:spacing w:before="120" w:after="120"/>
        <w:jc w:val="both"/>
        <w:rPr>
          <w:rFonts w:ascii="Bookman Old Style" w:eastAsia="Times New Roman" w:hAnsi="Bookman Old Style" w:cs="Times New Roman"/>
          <w:noProof/>
          <w:color w:val="111111"/>
          <w:lang w:eastAsia="es-CL"/>
        </w:rPr>
      </w:pPr>
      <w:r>
        <w:rPr>
          <w:rFonts w:ascii="Bookman Old Style" w:eastAsia="Times New Roman" w:hAnsi="Bookman Old Style" w:cs="Times New Roman"/>
          <w:noProof/>
          <w:color w:val="111111"/>
          <w:lang w:eastAsia="es-CL"/>
        </w:rPr>
        <w:drawing>
          <wp:anchor distT="0" distB="0" distL="114300" distR="114300" simplePos="0" relativeHeight="251676160" behindDoc="1" locked="0" layoutInCell="1" allowOverlap="1" wp14:anchorId="720DA274" wp14:editId="5A43B2DF">
            <wp:simplePos x="0" y="0"/>
            <wp:positionH relativeFrom="column">
              <wp:posOffset>0</wp:posOffset>
            </wp:positionH>
            <wp:positionV relativeFrom="paragraph">
              <wp:posOffset>401320</wp:posOffset>
            </wp:positionV>
            <wp:extent cx="6836410" cy="2860040"/>
            <wp:effectExtent l="0" t="0" r="2540" b="0"/>
            <wp:wrapTight wrapText="bothSides">
              <wp:wrapPolygon edited="0">
                <wp:start x="0" y="0"/>
                <wp:lineTo x="0" y="21437"/>
                <wp:lineTo x="21548" y="21437"/>
                <wp:lineTo x="21548" y="0"/>
                <wp:lineTo x="0" y="0"/>
              </wp:wrapPolygon>
            </wp:wrapTight>
            <wp:docPr id="12" name="Imagen 1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Tabla&#10;&#10;Descripción generada automáticamente"/>
                    <pic:cNvPicPr/>
                  </pic:nvPicPr>
                  <pic:blipFill>
                    <a:blip r:embed="rId12">
                      <a:extLst>
                        <a:ext uri="{28A0092B-C50C-407E-A947-70E740481C1C}">
                          <a14:useLocalDpi xmlns:a14="http://schemas.microsoft.com/office/drawing/2010/main" val="0"/>
                        </a:ext>
                      </a:extLst>
                    </a:blip>
                    <a:stretch>
                      <a:fillRect/>
                    </a:stretch>
                  </pic:blipFill>
                  <pic:spPr>
                    <a:xfrm>
                      <a:off x="0" y="0"/>
                      <a:ext cx="6836410" cy="2860040"/>
                    </a:xfrm>
                    <a:prstGeom prst="rect">
                      <a:avLst/>
                    </a:prstGeom>
                  </pic:spPr>
                </pic:pic>
              </a:graphicData>
            </a:graphic>
            <wp14:sizeRelH relativeFrom="margin">
              <wp14:pctWidth>0</wp14:pctWidth>
            </wp14:sizeRelH>
            <wp14:sizeRelV relativeFrom="margin">
              <wp14:pctHeight>0</wp14:pctHeight>
            </wp14:sizeRelV>
          </wp:anchor>
        </w:drawing>
      </w:r>
      <w:r w:rsidR="003943EC" w:rsidRPr="003943EC">
        <w:rPr>
          <w:rFonts w:ascii="Bookman Old Style" w:eastAsia="Times New Roman" w:hAnsi="Bookman Old Style" w:cs="Times New Roman"/>
          <w:color w:val="111111"/>
          <w:lang w:eastAsia="es-CL"/>
        </w:rPr>
        <w:t>En el cuadro siguiente hacemos una comparación de lo que podría ser la renta presunta, en base a 4 diferentes preciso del cobre.</w:t>
      </w:r>
    </w:p>
    <w:p w14:paraId="590192FB" w14:textId="65F6E67F" w:rsidR="003943EC" w:rsidRPr="003943EC" w:rsidRDefault="003943EC" w:rsidP="003943EC">
      <w:pPr>
        <w:shd w:val="clear" w:color="auto" w:fill="FFFFFF"/>
        <w:spacing w:before="480" w:after="48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lastRenderedPageBreak/>
        <w:t xml:space="preserve">Como se puede observar, si el precio del cobre es de 4 dólares la libra (escenario 3), los ingresos totales serían de US$ 35,3 millones, por 4 millones de toneladas que producen las grandes mineras hoy, a lo cual descontamos US$ 1.800 de cargos de fundición y refinación de los concentrados, cargo que debe ser </w:t>
      </w:r>
      <w:proofErr w:type="gramStart"/>
      <w:r w:rsidRPr="003943EC">
        <w:rPr>
          <w:rFonts w:ascii="Bookman Old Style" w:eastAsia="Times New Roman" w:hAnsi="Bookman Old Style" w:cs="Times New Roman"/>
          <w:color w:val="111111"/>
          <w:lang w:eastAsia="es-CL"/>
        </w:rPr>
        <w:t>menos,  porque</w:t>
      </w:r>
      <w:proofErr w:type="gramEnd"/>
      <w:r w:rsidRPr="003943EC">
        <w:rPr>
          <w:rFonts w:ascii="Bookman Old Style" w:eastAsia="Times New Roman" w:hAnsi="Bookman Old Style" w:cs="Times New Roman"/>
          <w:color w:val="111111"/>
          <w:lang w:eastAsia="es-CL"/>
        </w:rPr>
        <w:t xml:space="preserve"> también estas mineras exportan cobre refinado, lo que nos da una base tributable de US$ 33,4 millones, que al aplicar el Impuesto Adicional de 35%, pagarían un impuesto US$ 5,86 millones, lo que es bastante bajo, si tenemos en consideración que Codelco entregó excedentes al Estado de US$ 9.215 millones, el año 2006, con un precio del cobre a solo 3 dólares la libra y produciendo solo 1,6 millones de toneladas.</w:t>
      </w:r>
    </w:p>
    <w:p w14:paraId="62C556C4" w14:textId="58652D44" w:rsidR="003943EC" w:rsidRPr="003943EC" w:rsidRDefault="003943EC" w:rsidP="003943EC">
      <w:pPr>
        <w:shd w:val="clear" w:color="auto" w:fill="FFFFFF"/>
        <w:spacing w:before="480" w:after="480"/>
        <w:jc w:val="both"/>
        <w:rPr>
          <w:rFonts w:ascii="Bookman Old Style" w:eastAsia="Times New Roman" w:hAnsi="Bookman Old Style" w:cs="Times New Roman"/>
          <w:color w:val="111111"/>
          <w:lang w:eastAsia="es-CL"/>
        </w:rPr>
      </w:pPr>
      <w:r w:rsidRPr="003943EC">
        <w:rPr>
          <w:rFonts w:ascii="Bookman Old Style" w:eastAsia="Times New Roman" w:hAnsi="Bookman Old Style" w:cs="Times New Roman"/>
          <w:color w:val="111111"/>
          <w:lang w:eastAsia="es-CL"/>
        </w:rPr>
        <w:t>Sin embargo, </w:t>
      </w:r>
      <w:r w:rsidRPr="003943EC">
        <w:rPr>
          <w:rFonts w:ascii="Bookman Old Style" w:eastAsia="Times New Roman" w:hAnsi="Bookman Old Style" w:cs="Times New Roman"/>
          <w:b/>
          <w:bCs/>
          <w:color w:val="111111"/>
          <w:lang w:eastAsia="es-CL"/>
        </w:rPr>
        <w:t>esta base solo se debería aplicar a las ventas de cobre refinado, pero si se trata de concentrados, es base de 50%</w:t>
      </w:r>
      <w:r w:rsidRPr="003943EC">
        <w:rPr>
          <w:rFonts w:ascii="Bookman Old Style" w:eastAsia="Times New Roman" w:hAnsi="Bookman Old Style" w:cs="Times New Roman"/>
          <w:color w:val="111111"/>
          <w:lang w:eastAsia="es-CL"/>
        </w:rPr>
        <w:t>, debe aumentar a lo menos en 50%, para incentivar a estas empresas a fundir y refinar el cobre en Chile.</w:t>
      </w:r>
    </w:p>
    <w:p w14:paraId="68D6566D" w14:textId="153FEC3D" w:rsidR="000C634E" w:rsidRPr="003943EC" w:rsidRDefault="003943EC" w:rsidP="004532B1">
      <w:pPr>
        <w:jc w:val="both"/>
        <w:rPr>
          <w:b/>
          <w:u w:val="single"/>
        </w:rPr>
      </w:pPr>
      <w:r w:rsidRPr="003943EC">
        <w:rPr>
          <w:b/>
          <w:u w:val="single"/>
        </w:rPr>
        <w:t>L</w:t>
      </w:r>
      <w:r w:rsidR="000C634E" w:rsidRPr="003943EC">
        <w:rPr>
          <w:b/>
          <w:u w:val="single"/>
        </w:rPr>
        <w:t>o subrayado e interpolado es nuestro</w:t>
      </w:r>
      <w:r w:rsidRPr="003943EC">
        <w:rPr>
          <w:b/>
          <w:u w:val="single"/>
        </w:rPr>
        <w:t>.</w:t>
      </w:r>
    </w:p>
    <w:p w14:paraId="3538AA32" w14:textId="00E6AD48" w:rsidR="008043F0" w:rsidRDefault="008043F0" w:rsidP="003F4E58">
      <w:pPr>
        <w:jc w:val="both"/>
      </w:pPr>
    </w:p>
    <w:sectPr w:rsidR="008043F0" w:rsidSect="003943E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497"/>
    <w:multiLevelType w:val="hybridMultilevel"/>
    <w:tmpl w:val="38F8F3F2"/>
    <w:lvl w:ilvl="0" w:tplc="CAEC47A0">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3F0"/>
    <w:rsid w:val="000543CE"/>
    <w:rsid w:val="000711AC"/>
    <w:rsid w:val="000A5FAD"/>
    <w:rsid w:val="000C3C08"/>
    <w:rsid w:val="000C634E"/>
    <w:rsid w:val="003943EC"/>
    <w:rsid w:val="003F4E58"/>
    <w:rsid w:val="004532B1"/>
    <w:rsid w:val="004A5357"/>
    <w:rsid w:val="004D142C"/>
    <w:rsid w:val="006E1EEA"/>
    <w:rsid w:val="00731453"/>
    <w:rsid w:val="008043F0"/>
    <w:rsid w:val="00872A25"/>
    <w:rsid w:val="008875FC"/>
    <w:rsid w:val="00A406FD"/>
    <w:rsid w:val="00B40A33"/>
    <w:rsid w:val="00B511AC"/>
    <w:rsid w:val="00C80ECA"/>
    <w:rsid w:val="00D45C9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9EDB"/>
  <w15:docId w15:val="{DCE887B6-AA6A-4ED2-B767-8654AFCB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F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43F0"/>
    <w:pPr>
      <w:ind w:left="720"/>
      <w:contextualSpacing/>
    </w:pPr>
  </w:style>
  <w:style w:type="character" w:styleId="Hipervnculo">
    <w:name w:val="Hyperlink"/>
    <w:basedOn w:val="Fuentedeprrafopredeter"/>
    <w:uiPriority w:val="99"/>
    <w:unhideWhenUsed/>
    <w:rsid w:val="003943EC"/>
    <w:rPr>
      <w:color w:val="0000FF" w:themeColor="hyperlink"/>
      <w:u w:val="single"/>
    </w:rPr>
  </w:style>
  <w:style w:type="character" w:styleId="Mencinsinresolver">
    <w:name w:val="Unresolved Mention"/>
    <w:basedOn w:val="Fuentedeprrafopredeter"/>
    <w:uiPriority w:val="99"/>
    <w:semiHidden/>
    <w:unhideWhenUsed/>
    <w:rsid w:val="003943EC"/>
    <w:rPr>
      <w:color w:val="605E5C"/>
      <w:shd w:val="clear" w:color="auto" w:fill="E1DFDD"/>
    </w:rPr>
  </w:style>
  <w:style w:type="paragraph" w:styleId="Descripcin">
    <w:name w:val="caption"/>
    <w:basedOn w:val="Normal"/>
    <w:next w:val="Normal"/>
    <w:uiPriority w:val="35"/>
    <w:unhideWhenUsed/>
    <w:qFormat/>
    <w:rsid w:val="003943EC"/>
    <w:pPr>
      <w:spacing w:line="240" w:lineRule="auto"/>
    </w:pPr>
    <w:rPr>
      <w:i/>
      <w:iCs/>
      <w:color w:val="1F497D" w:themeColor="text2"/>
      <w:sz w:val="18"/>
      <w:szCs w:val="18"/>
    </w:rPr>
  </w:style>
  <w:style w:type="paragraph" w:styleId="NormalWeb">
    <w:name w:val="Normal (Web)"/>
    <w:basedOn w:val="Normal"/>
    <w:uiPriority w:val="99"/>
    <w:unhideWhenUsed/>
    <w:rsid w:val="003F4E58"/>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nfasis">
    <w:name w:val="Emphasis"/>
    <w:basedOn w:val="Fuentedeprrafopredeter"/>
    <w:uiPriority w:val="20"/>
    <w:qFormat/>
    <w:rsid w:val="003F4E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46152">
      <w:bodyDiv w:val="1"/>
      <w:marLeft w:val="0"/>
      <w:marRight w:val="0"/>
      <w:marTop w:val="0"/>
      <w:marBottom w:val="0"/>
      <w:divBdr>
        <w:top w:val="none" w:sz="0" w:space="0" w:color="auto"/>
        <w:left w:val="none" w:sz="0" w:space="0" w:color="auto"/>
        <w:bottom w:val="none" w:sz="0" w:space="0" w:color="auto"/>
        <w:right w:val="none" w:sz="0" w:space="0" w:color="auto"/>
      </w:divBdr>
    </w:div>
    <w:div w:id="580213485">
      <w:bodyDiv w:val="1"/>
      <w:marLeft w:val="0"/>
      <w:marRight w:val="0"/>
      <w:marTop w:val="0"/>
      <w:marBottom w:val="0"/>
      <w:divBdr>
        <w:top w:val="none" w:sz="0" w:space="0" w:color="auto"/>
        <w:left w:val="none" w:sz="0" w:space="0" w:color="auto"/>
        <w:bottom w:val="none" w:sz="0" w:space="0" w:color="auto"/>
        <w:right w:val="none" w:sz="0" w:space="0" w:color="auto"/>
      </w:divBdr>
    </w:div>
    <w:div w:id="1511027351">
      <w:bodyDiv w:val="1"/>
      <w:marLeft w:val="0"/>
      <w:marRight w:val="0"/>
      <w:marTop w:val="0"/>
      <w:marBottom w:val="0"/>
      <w:divBdr>
        <w:top w:val="none" w:sz="0" w:space="0" w:color="auto"/>
        <w:left w:val="none" w:sz="0" w:space="0" w:color="auto"/>
        <w:bottom w:val="none" w:sz="0" w:space="0" w:color="auto"/>
        <w:right w:val="none" w:sz="0" w:space="0" w:color="auto"/>
      </w:divBdr>
      <w:divsChild>
        <w:div w:id="655107367">
          <w:marLeft w:val="0"/>
          <w:marRight w:val="0"/>
          <w:marTop w:val="0"/>
          <w:marBottom w:val="0"/>
          <w:divBdr>
            <w:top w:val="none" w:sz="0" w:space="0" w:color="auto"/>
            <w:left w:val="none" w:sz="0" w:space="0" w:color="auto"/>
            <w:bottom w:val="none" w:sz="0" w:space="0" w:color="auto"/>
            <w:right w:val="none" w:sz="0" w:space="0" w:color="auto"/>
          </w:divBdr>
          <w:divsChild>
            <w:div w:id="1895239335">
              <w:marLeft w:val="0"/>
              <w:marRight w:val="0"/>
              <w:marTop w:val="0"/>
              <w:marBottom w:val="0"/>
              <w:divBdr>
                <w:top w:val="none" w:sz="0" w:space="0" w:color="auto"/>
                <w:left w:val="none" w:sz="0" w:space="0" w:color="auto"/>
                <w:bottom w:val="none" w:sz="0" w:space="0" w:color="auto"/>
                <w:right w:val="none" w:sz="0" w:space="0" w:color="auto"/>
              </w:divBdr>
            </w:div>
          </w:divsChild>
        </w:div>
        <w:div w:id="1953584910">
          <w:marLeft w:val="0"/>
          <w:marRight w:val="0"/>
          <w:marTop w:val="0"/>
          <w:marBottom w:val="0"/>
          <w:divBdr>
            <w:top w:val="none" w:sz="0" w:space="0" w:color="auto"/>
            <w:left w:val="none" w:sz="0" w:space="0" w:color="auto"/>
            <w:bottom w:val="none" w:sz="0" w:space="0" w:color="auto"/>
            <w:right w:val="none" w:sz="0" w:space="0" w:color="auto"/>
          </w:divBdr>
          <w:divsChild>
            <w:div w:id="1139879475">
              <w:marLeft w:val="0"/>
              <w:marRight w:val="0"/>
              <w:marTop w:val="0"/>
              <w:marBottom w:val="0"/>
              <w:divBdr>
                <w:top w:val="none" w:sz="0" w:space="0" w:color="auto"/>
                <w:left w:val="none" w:sz="0" w:space="0" w:color="auto"/>
                <w:bottom w:val="none" w:sz="0" w:space="0" w:color="auto"/>
                <w:right w:val="none" w:sz="0" w:space="0" w:color="auto"/>
              </w:divBdr>
              <w:divsChild>
                <w:div w:id="1242254555">
                  <w:marLeft w:val="0"/>
                  <w:marRight w:val="0"/>
                  <w:marTop w:val="480"/>
                  <w:marBottom w:val="480"/>
                  <w:divBdr>
                    <w:top w:val="none" w:sz="0" w:space="0" w:color="auto"/>
                    <w:left w:val="none" w:sz="0" w:space="0" w:color="auto"/>
                    <w:bottom w:val="none" w:sz="0" w:space="0" w:color="auto"/>
                    <w:right w:val="none" w:sz="0" w:space="0" w:color="auto"/>
                  </w:divBdr>
                </w:div>
                <w:div w:id="386689323">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6</Pages>
  <Words>2028</Words>
  <Characters>11155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Valentina  Marín Rozas</cp:lastModifiedBy>
  <cp:revision>13</cp:revision>
  <dcterms:created xsi:type="dcterms:W3CDTF">2021-07-31T13:55:00Z</dcterms:created>
  <dcterms:modified xsi:type="dcterms:W3CDTF">2021-08-03T01:26:00Z</dcterms:modified>
</cp:coreProperties>
</file>